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Default Extension="gif" ContentType="image/gif"/>
  <Default Extension="png" ContentType="image/png"/>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98E" w:rsidRDefault="00505029">
      <w:r>
        <w:t xml:space="preserve">Patient 3. Diagnosed solely on the score of ADAS COG. Prescribed </w:t>
      </w:r>
      <w:r w:rsidR="00470392">
        <w:t xml:space="preserve">Aricept. </w:t>
      </w:r>
    </w:p>
    <w:p w:rsidR="00F01FDC" w:rsidRDefault="00F01FDC"/>
    <w:p w:rsidR="00F01FDC" w:rsidRDefault="00F01FDC">
      <w:r>
        <w:t>Arthritis</w:t>
      </w:r>
    </w:p>
    <w:p w:rsidR="00F01FDC" w:rsidRDefault="00F01FDC">
      <w:r>
        <w:t>Back Pain –Non Specific</w:t>
      </w:r>
    </w:p>
    <w:p w:rsidR="00F01FDC" w:rsidRDefault="00AB3542">
      <w:r>
        <w:t>Constipation</w:t>
      </w:r>
    </w:p>
    <w:p w:rsidR="00AB3542" w:rsidRDefault="00AB3542">
      <w:r>
        <w:t xml:space="preserve">Gastro-Esophogeal Reflux Disease </w:t>
      </w:r>
    </w:p>
    <w:p w:rsidR="00F01FDC" w:rsidRDefault="00F01FDC"/>
    <w:p w:rsidR="00F01FDC" w:rsidRDefault="00F01FDC">
      <w:r>
        <w:t>Drugs</w:t>
      </w:r>
    </w:p>
    <w:p w:rsidR="00F01FDC" w:rsidRDefault="00F01FDC">
      <w:r>
        <w:t>Codeine</w:t>
      </w:r>
      <w:r w:rsidR="00AB3542">
        <w:t xml:space="preserve">  30-60mg QID</w:t>
      </w:r>
    </w:p>
    <w:p w:rsidR="00F01FDC" w:rsidRDefault="00F01FDC">
      <w:r>
        <w:t>Celecoxib</w:t>
      </w:r>
      <w:r w:rsidR="00AB3542">
        <w:t xml:space="preserve"> 200mg BID</w:t>
      </w:r>
    </w:p>
    <w:p w:rsidR="00F01FDC" w:rsidRDefault="00AB3542">
      <w:r>
        <w:t>Docusate Sodium  200mg BID</w:t>
      </w:r>
    </w:p>
    <w:p w:rsidR="00F01FDC" w:rsidRDefault="00AB3542">
      <w:r>
        <w:t>Lactulose 15mls BID</w:t>
      </w:r>
    </w:p>
    <w:p w:rsidR="00AB3542" w:rsidRDefault="00AB3542">
      <w:r>
        <w:t>Omeprazole 40mg od</w:t>
      </w:r>
    </w:p>
    <w:p w:rsidR="00AB3542" w:rsidRDefault="00AB3542">
      <w:r>
        <w:t>New Medication :</w:t>
      </w:r>
    </w:p>
    <w:p w:rsidR="00AB3542" w:rsidRDefault="00AB3542">
      <w:r>
        <w:t>Donepezil 10mg od</w:t>
      </w:r>
    </w:p>
    <w:p w:rsidR="00E10EAF" w:rsidRDefault="00E10EAF"/>
    <w:p w:rsidR="00E10EAF" w:rsidRPr="00E10EAF" w:rsidRDefault="00C80F3B">
      <w:pPr>
        <w:rPr>
          <w:b/>
        </w:rPr>
      </w:pPr>
      <w:r>
        <w:rPr>
          <w:b/>
        </w:rPr>
        <w:t>Pharmacog</w:t>
      </w:r>
      <w:r w:rsidR="00E10EAF" w:rsidRPr="00E10EAF">
        <w:rPr>
          <w:b/>
        </w:rPr>
        <w:t>enetic Data</w:t>
      </w:r>
    </w:p>
    <w:p w:rsidR="00F01FDC" w:rsidRDefault="00F01FDC">
      <w:r>
        <w:rPr>
          <w:rStyle w:val="Strong"/>
        </w:rPr>
        <w:t>CYP2C9 Variants PM and EM genotypes and drug exposure</w:t>
      </w:r>
      <w:r>
        <w:t>; “Patients who are known or suspected to be P450 2C9 poor metabolizers based on a previous history should be administered celecoxib with caution as they may have abnormally high plasma levels due to reduced metabolic clearance.”</w:t>
      </w:r>
    </w:p>
    <w:p w:rsidR="00F01FDC" w:rsidRDefault="00F01FDC">
      <w:r>
        <w:rPr>
          <w:rStyle w:val="Strong"/>
        </w:rPr>
        <w:t>5.9 Ultra-rapid Metabolizers of Codeine</w:t>
      </w:r>
      <w:r>
        <w:rPr>
          <w:b/>
          <w:bCs/>
        </w:rPr>
        <w:br/>
      </w:r>
      <w:r>
        <w:t>Some individuals may be ultra-rapid metabolizers due to a specific CYP2D6*2x2 genotype. These individuals convert codeine into its active metabolite, morphine, more rapidly and completely than other people. This rapid conversion results in higher than expected serum morphine levels. Even at labeled dosage regimens, individuals who are ultra-rapid metabolizers may experience overdose symptoms such as extreme sleepiness, confusion, or shallow breathing.</w:t>
      </w:r>
      <w:r>
        <w:br/>
        <w:t>The prevalence of this CYP2D6 phenotype varies widely and has been estimated at 0.5 to 1% in Chinese and Japanese, 0.5% to 1% in Hispanics, 1 to 10% in Caucasians, 3% in African Americans, and 16 to 28% in North Africans, Ethiopians, and Arabs. Data are not available for other ethnic groups. (Precautions 5)</w:t>
      </w:r>
      <w:r>
        <w:br/>
      </w:r>
    </w:p>
    <w:p w:rsidR="00F01FDC" w:rsidRDefault="00F01FDC">
      <w:r>
        <w:t>When physicians prescribe codeine-containing drugs, they should choose the lowest effective dose for the shortest period of time and inform their patients about these risks and the signs of morphine overdose. [see Use in Specific Populations (8)] There is no relevant effect of genetic variation in CYP2B6, CYP2C9, CYP2C19, or CYP3A5 on the pharmacokinetics of prasugrel’s active metabolite or its inhibition of platelet aggregation. (12 Clinical Pharmacology 12.5 Pharmacogenomics) Whereas the pharmacokinetics of prasugrel’s active metabolite are not known to be affected by genetic variations in CYP2B6, CYP2C9, CYP2C19, or CYP3A5, the pharmacokinetics of clopidogrel’s active metabolite are affected by CYP2C19 genotype, and approximately 30% of Caucasians are reduced-metabolizers. (14 Clinical Studies)</w:t>
      </w:r>
    </w:p>
    <w:p w:rsidR="008A0372" w:rsidRDefault="008A0372" w:rsidP="008A0372">
      <w:pPr>
        <w:rPr>
          <w:b/>
        </w:rPr>
      </w:pPr>
      <w:r>
        <w:rPr>
          <w:b/>
        </w:rPr>
        <w:t>Drug Interactions and Metabolism</w:t>
      </w:r>
    </w:p>
    <w:p w:rsidR="008A0372" w:rsidRDefault="008A0372" w:rsidP="008A0372">
      <w:pPr>
        <w:rPr>
          <w:b/>
        </w:rPr>
      </w:pPr>
      <w:r w:rsidRPr="00FE4AE7">
        <w:rPr>
          <w:b/>
        </w:rPr>
        <w:t>Cytochrome P 450 Subtype</w:t>
      </w:r>
      <w:r>
        <w:rPr>
          <w:b/>
        </w:rPr>
        <w:t xml:space="preserve">      </w:t>
      </w:r>
    </w:p>
    <w:p w:rsidR="008A0372" w:rsidRDefault="008A0372" w:rsidP="008A0372">
      <w:pPr>
        <w:rPr>
          <w:b/>
        </w:rPr>
      </w:pPr>
      <w:r>
        <w:rPr>
          <w:b/>
        </w:rPr>
        <w:t>Subtype indicated describes the specific isoenzymes of the P450 System responsible for the metabolism of the specific drugs patient has in their profile – this data can be found in Facts and Comparisons, Micromedex, The Drug Information Handbook, and is available to prescribers – It will likely be most accurate from these sources, which are at a fee.</w:t>
      </w:r>
    </w:p>
    <w:p w:rsidR="008A0372" w:rsidRPr="00FE4AE7" w:rsidRDefault="008A0372" w:rsidP="008A0372">
      <w:pPr>
        <w:rPr>
          <w:b/>
        </w:rPr>
      </w:pPr>
      <w:r>
        <w:rPr>
          <w:b/>
        </w:rPr>
        <w:t xml:space="preserve">(graphs indicate data </w:t>
      </w:r>
      <w:r w:rsidRPr="006C728C">
        <w:rPr>
          <w:b/>
          <w:color w:val="FF0000"/>
        </w:rPr>
        <w:t xml:space="preserve">we need to figure out how to obtain from </w:t>
      </w:r>
      <w:r w:rsidR="00E10EAF">
        <w:rPr>
          <w:b/>
          <w:color w:val="FF0000"/>
        </w:rPr>
        <w:t>genetic profiling and Pharm GKB</w:t>
      </w:r>
      <w:r>
        <w:rPr>
          <w:b/>
          <w:color w:val="FF0000"/>
        </w:rPr>
        <w:t xml:space="preserve"> and provide to the prescriber!)</w:t>
      </w:r>
    </w:p>
    <w:p w:rsidR="008A0372" w:rsidRDefault="008A0372"/>
    <w:p w:rsidR="00AB3542" w:rsidRDefault="00AB3542" w:rsidP="00AB3542">
      <w:pPr>
        <w:rPr>
          <w:lang w:val="en-GB"/>
        </w:rPr>
      </w:pPr>
      <w:r>
        <w:rPr>
          <w:lang w:val="en-GB"/>
        </w:rPr>
        <w:t>1A2</w:t>
      </w:r>
    </w:p>
    <w:p w:rsidR="00AB3542" w:rsidRDefault="00AB3542" w:rsidP="00AB3542">
      <w:pPr>
        <w:rPr>
          <w:lang w:val="en-GB"/>
        </w:rPr>
      </w:pPr>
      <w:r w:rsidRPr="0090724C">
        <w:rPr>
          <w:noProof/>
        </w:rPr>
        <w:drawing>
          <wp:inline distT="0" distB="0" distL="0" distR="0">
            <wp:extent cx="2018898" cy="1280160"/>
            <wp:effectExtent l="19050" t="0" r="402"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018898" cy="1280160"/>
                    </a:xfrm>
                    <a:prstGeom prst="rect">
                      <a:avLst/>
                    </a:prstGeom>
                    <a:noFill/>
                    <a:ln w="9525">
                      <a:noFill/>
                      <a:miter lim="800000"/>
                      <a:headEnd/>
                      <a:tailEnd/>
                    </a:ln>
                  </pic:spPr>
                </pic:pic>
              </a:graphicData>
            </a:graphic>
          </wp:inline>
        </w:drawing>
      </w:r>
    </w:p>
    <w:p w:rsidR="00AB3542" w:rsidRDefault="00AB3542" w:rsidP="00AB3542">
      <w:pPr>
        <w:rPr>
          <w:lang w:val="en-GB"/>
        </w:rPr>
      </w:pPr>
      <w:r>
        <w:rPr>
          <w:lang w:val="en-GB"/>
        </w:rPr>
        <w:t>2C8</w:t>
      </w:r>
    </w:p>
    <w:p w:rsidR="00AB3542" w:rsidRDefault="00AB3542" w:rsidP="00AB3542">
      <w:pPr>
        <w:rPr>
          <w:lang w:val="en-GB"/>
        </w:rPr>
      </w:pPr>
      <w:r w:rsidRPr="0090724C">
        <w:rPr>
          <w:noProof/>
        </w:rPr>
        <w:drawing>
          <wp:inline distT="0" distB="0" distL="0" distR="0">
            <wp:extent cx="2018898" cy="1280160"/>
            <wp:effectExtent l="19050" t="0" r="402"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018898" cy="1280160"/>
                    </a:xfrm>
                    <a:prstGeom prst="rect">
                      <a:avLst/>
                    </a:prstGeom>
                    <a:noFill/>
                    <a:ln w="9525">
                      <a:noFill/>
                      <a:miter lim="800000"/>
                      <a:headEnd/>
                      <a:tailEnd/>
                    </a:ln>
                  </pic:spPr>
                </pic:pic>
              </a:graphicData>
            </a:graphic>
          </wp:inline>
        </w:drawing>
      </w:r>
    </w:p>
    <w:p w:rsidR="00AB3542" w:rsidRDefault="00AB3542" w:rsidP="00AB3542">
      <w:pPr>
        <w:rPr>
          <w:lang w:val="en-GB"/>
        </w:rPr>
      </w:pPr>
      <w:r>
        <w:rPr>
          <w:lang w:val="en-GB"/>
        </w:rPr>
        <w:t>2C9</w:t>
      </w:r>
    </w:p>
    <w:p w:rsidR="00AB3542" w:rsidRDefault="00AB3542" w:rsidP="00AB3542">
      <w:pPr>
        <w:rPr>
          <w:lang w:val="en-GB"/>
        </w:rPr>
      </w:pPr>
      <w:r>
        <w:rPr>
          <w:lang w:val="en-GB"/>
        </w:rPr>
        <w:t>CELECOXIB – unclassified</w:t>
      </w:r>
    </w:p>
    <w:p w:rsidR="00AB3542" w:rsidRDefault="00AB3542" w:rsidP="00AB3542">
      <w:pPr>
        <w:rPr>
          <w:lang w:val="en-GB"/>
        </w:rPr>
      </w:pPr>
      <w:r w:rsidRPr="0090724C">
        <w:rPr>
          <w:noProof/>
        </w:rPr>
        <w:drawing>
          <wp:inline distT="0" distB="0" distL="0" distR="0">
            <wp:extent cx="2018898" cy="1280160"/>
            <wp:effectExtent l="19050" t="0" r="402"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018898" cy="1280160"/>
                    </a:xfrm>
                    <a:prstGeom prst="rect">
                      <a:avLst/>
                    </a:prstGeom>
                    <a:noFill/>
                    <a:ln w="9525">
                      <a:noFill/>
                      <a:miter lim="800000"/>
                      <a:headEnd/>
                      <a:tailEnd/>
                    </a:ln>
                  </pic:spPr>
                </pic:pic>
              </a:graphicData>
            </a:graphic>
          </wp:inline>
        </w:drawing>
      </w:r>
    </w:p>
    <w:p w:rsidR="00AB3542" w:rsidRDefault="00AB3542" w:rsidP="00AB3542">
      <w:pPr>
        <w:rPr>
          <w:lang w:val="en-GB"/>
        </w:rPr>
      </w:pPr>
      <w:r>
        <w:rPr>
          <w:lang w:val="en-GB"/>
        </w:rPr>
        <w:t>2C19</w:t>
      </w:r>
    </w:p>
    <w:p w:rsidR="00AB3542" w:rsidRDefault="00AB3542" w:rsidP="00AB3542">
      <w:pPr>
        <w:rPr>
          <w:lang w:val="en-GB"/>
        </w:rPr>
      </w:pPr>
      <w:r>
        <w:rPr>
          <w:lang w:val="en-GB"/>
        </w:rPr>
        <w:t>OMEPRAZOLE – major strong</w:t>
      </w:r>
    </w:p>
    <w:p w:rsidR="00AB3542" w:rsidRDefault="00AB3542" w:rsidP="00AB3542">
      <w:pPr>
        <w:rPr>
          <w:lang w:val="en-GB"/>
        </w:rPr>
      </w:pPr>
      <w:r w:rsidRPr="0090724C">
        <w:rPr>
          <w:noProof/>
        </w:rPr>
        <w:drawing>
          <wp:inline distT="0" distB="0" distL="0" distR="0">
            <wp:extent cx="2018898" cy="1280160"/>
            <wp:effectExtent l="19050" t="0" r="402"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018898" cy="1280160"/>
                    </a:xfrm>
                    <a:prstGeom prst="rect">
                      <a:avLst/>
                    </a:prstGeom>
                    <a:noFill/>
                    <a:ln w="9525">
                      <a:noFill/>
                      <a:miter lim="800000"/>
                      <a:headEnd/>
                      <a:tailEnd/>
                    </a:ln>
                  </pic:spPr>
                </pic:pic>
              </a:graphicData>
            </a:graphic>
          </wp:inline>
        </w:drawing>
      </w:r>
    </w:p>
    <w:p w:rsidR="00AB3542" w:rsidRDefault="00AB3542" w:rsidP="00AB3542">
      <w:pPr>
        <w:rPr>
          <w:lang w:val="en-GB"/>
        </w:rPr>
      </w:pPr>
      <w:r>
        <w:rPr>
          <w:lang w:val="en-GB"/>
        </w:rPr>
        <w:t xml:space="preserve">2D6  </w:t>
      </w:r>
    </w:p>
    <w:p w:rsidR="00D4652D" w:rsidRDefault="00D4652D" w:rsidP="00AB3542">
      <w:pPr>
        <w:rPr>
          <w:lang w:val="en-GB"/>
        </w:rPr>
      </w:pPr>
      <w:r>
        <w:rPr>
          <w:lang w:val="en-GB"/>
        </w:rPr>
        <w:t>CODEINE  Major</w:t>
      </w:r>
    </w:p>
    <w:p w:rsidR="00AB3542" w:rsidRDefault="00AB3542" w:rsidP="00AB3542">
      <w:pPr>
        <w:rPr>
          <w:lang w:val="en-GB"/>
        </w:rPr>
      </w:pPr>
      <w:r>
        <w:rPr>
          <w:lang w:val="en-GB"/>
        </w:rPr>
        <w:t>DONEPEZIL substrate</w:t>
      </w:r>
    </w:p>
    <w:p w:rsidR="00AB3542" w:rsidRDefault="00AB3542" w:rsidP="00AB3542">
      <w:pPr>
        <w:rPr>
          <w:lang w:val="en-GB"/>
        </w:rPr>
      </w:pPr>
      <w:r w:rsidRPr="0090724C">
        <w:rPr>
          <w:noProof/>
        </w:rPr>
        <w:drawing>
          <wp:inline distT="0" distB="0" distL="0" distR="0">
            <wp:extent cx="2018898" cy="1280160"/>
            <wp:effectExtent l="19050" t="0" r="402"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018898" cy="1280160"/>
                    </a:xfrm>
                    <a:prstGeom prst="rect">
                      <a:avLst/>
                    </a:prstGeom>
                    <a:noFill/>
                    <a:ln w="9525">
                      <a:noFill/>
                      <a:miter lim="800000"/>
                      <a:headEnd/>
                      <a:tailEnd/>
                    </a:ln>
                  </pic:spPr>
                </pic:pic>
              </a:graphicData>
            </a:graphic>
          </wp:inline>
        </w:drawing>
      </w:r>
    </w:p>
    <w:p w:rsidR="00AB3542" w:rsidRDefault="00AB3542" w:rsidP="00AB3542">
      <w:pPr>
        <w:rPr>
          <w:lang w:val="en-GB"/>
        </w:rPr>
      </w:pPr>
      <w:r>
        <w:rPr>
          <w:lang w:val="en-GB"/>
        </w:rPr>
        <w:t xml:space="preserve">3A4   -   </w:t>
      </w:r>
    </w:p>
    <w:p w:rsidR="00D4652D" w:rsidRDefault="00D4652D" w:rsidP="00AB3542">
      <w:pPr>
        <w:rPr>
          <w:lang w:val="en-GB"/>
        </w:rPr>
      </w:pPr>
      <w:r>
        <w:rPr>
          <w:lang w:val="en-GB"/>
        </w:rPr>
        <w:t>CODEINE -Minor</w:t>
      </w:r>
    </w:p>
    <w:p w:rsidR="00AB3542" w:rsidRDefault="00AB3542" w:rsidP="00AB3542">
      <w:pPr>
        <w:rPr>
          <w:lang w:val="en-GB"/>
        </w:rPr>
      </w:pPr>
      <w:r>
        <w:rPr>
          <w:lang w:val="en-GB"/>
        </w:rPr>
        <w:t>DONEPEZIL substrate</w:t>
      </w:r>
    </w:p>
    <w:p w:rsidR="00AB3542" w:rsidRDefault="00AB3542" w:rsidP="00AB3542">
      <w:pPr>
        <w:rPr>
          <w:lang w:val="en-GB"/>
        </w:rPr>
      </w:pPr>
      <w:r w:rsidRPr="0090724C">
        <w:rPr>
          <w:noProof/>
        </w:rPr>
        <w:drawing>
          <wp:inline distT="0" distB="0" distL="0" distR="0">
            <wp:extent cx="2018898" cy="1280160"/>
            <wp:effectExtent l="19050" t="0" r="402"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018898" cy="1280160"/>
                    </a:xfrm>
                    <a:prstGeom prst="rect">
                      <a:avLst/>
                    </a:prstGeom>
                    <a:noFill/>
                    <a:ln w="9525">
                      <a:noFill/>
                      <a:miter lim="800000"/>
                      <a:headEnd/>
                      <a:tailEnd/>
                    </a:ln>
                  </pic:spPr>
                </pic:pic>
              </a:graphicData>
            </a:graphic>
          </wp:inline>
        </w:drawing>
      </w:r>
    </w:p>
    <w:p w:rsidR="00F01FDC" w:rsidRDefault="00F01FDC"/>
    <w:p w:rsidR="00F01FDC" w:rsidRDefault="00D4652D">
      <w:r>
        <w:t>Avoid Alcohol</w:t>
      </w:r>
    </w:p>
    <w:p w:rsidR="00D4652D" w:rsidRDefault="00D4652D">
      <w:r>
        <w:t>St, Johns wart may decrease levels of codeine</w:t>
      </w:r>
    </w:p>
    <w:p w:rsidR="00D4652D" w:rsidRDefault="00D4652D">
      <w:r>
        <w:t>Avoid St Johns wart, kava kava, gotu kola</w:t>
      </w:r>
    </w:p>
    <w:p w:rsidR="00F01FDC" w:rsidRDefault="00F01FDC"/>
    <w:p w:rsidR="00F01FDC" w:rsidRDefault="00C80F3B">
      <w:r>
        <w:t>Genetic/Biomarker associations</w:t>
      </w:r>
      <w:r w:rsidR="00F36944">
        <w:t xml:space="preserve"> :  In no specific Order of Importance</w:t>
      </w:r>
    </w:p>
    <w:tbl>
      <w:tblPr>
        <w:tblW w:w="5000" w:type="pct"/>
        <w:tblCellSpacing w:w="0" w:type="dxa"/>
        <w:tblCellMar>
          <w:left w:w="0" w:type="dxa"/>
          <w:right w:w="0" w:type="dxa"/>
        </w:tblCellMar>
        <w:tblLook w:val="04A0"/>
      </w:tblPr>
      <w:tblGrid>
        <w:gridCol w:w="5681"/>
        <w:gridCol w:w="3709"/>
      </w:tblGrid>
      <w:tr w:rsidR="00C80F3B" w:rsidRPr="00C80F3B">
        <w:trPr>
          <w:tblCellSpacing w:w="0" w:type="dxa"/>
        </w:trPr>
        <w:tc>
          <w:tcPr>
            <w:tcW w:w="3025" w:type="pct"/>
          </w:tcPr>
          <w:p w:rsidR="00C80F3B" w:rsidRPr="00C80F3B" w:rsidRDefault="00C80F3B" w:rsidP="00C80F3B">
            <w:pPr>
              <w:spacing w:after="0" w:line="240" w:lineRule="auto"/>
              <w:rPr>
                <w:rFonts w:ascii="Times New Roman" w:eastAsia="Times New Roman" w:hAnsi="Times New Roman" w:cs="Times New Roman"/>
                <w:sz w:val="24"/>
                <w:szCs w:val="24"/>
              </w:rPr>
            </w:pPr>
            <w:r w:rsidRPr="00C80F3B">
              <w:rPr>
                <w:rFonts w:ascii="Times New Roman" w:eastAsia="Times New Roman" w:hAnsi="Times New Roman" w:cs="Times New Roman"/>
                <w:sz w:val="20"/>
                <w:szCs w:val="20"/>
              </w:rPr>
              <w:t>NEUROLOGY 2009;73:761-767</w:t>
            </w:r>
            <w:r w:rsidRPr="00C80F3B">
              <w:rPr>
                <w:rFonts w:ascii="Times New Roman" w:eastAsia="Times New Roman" w:hAnsi="Times New Roman" w:cs="Times New Roman"/>
                <w:sz w:val="20"/>
                <w:szCs w:val="20"/>
              </w:rPr>
              <w:br/>
              <w:t xml:space="preserve">© 2009 </w:t>
            </w:r>
            <w:hyperlink r:id="rId5" w:history="1">
              <w:r w:rsidRPr="00C80F3B">
                <w:rPr>
                  <w:rFonts w:ascii="Times New Roman" w:eastAsia="Times New Roman" w:hAnsi="Times New Roman" w:cs="Times New Roman"/>
                  <w:color w:val="0000FF"/>
                  <w:sz w:val="20"/>
                  <w:u w:val="single"/>
                </w:rPr>
                <w:t>American Academy of Neurology</w:t>
              </w:r>
            </w:hyperlink>
            <w:r w:rsidRPr="00C80F3B">
              <w:rPr>
                <w:rFonts w:ascii="Times New Roman" w:eastAsia="Times New Roman" w:hAnsi="Times New Roman" w:cs="Times New Roman"/>
                <w:sz w:val="20"/>
                <w:szCs w:val="20"/>
              </w:rPr>
              <w:t xml:space="preserve"> </w:t>
            </w:r>
          </w:p>
          <w:p w:rsidR="00C80F3B" w:rsidRPr="00C80F3B" w:rsidRDefault="00C80F3B" w:rsidP="00C80F3B">
            <w:pPr>
              <w:spacing w:before="100" w:beforeAutospacing="1" w:after="100" w:afterAutospacing="1" w:line="240" w:lineRule="auto"/>
              <w:outlineLvl w:val="1"/>
              <w:rPr>
                <w:rFonts w:ascii="Times New Roman" w:eastAsia="Times New Roman" w:hAnsi="Times New Roman" w:cs="Times New Roman"/>
                <w:b/>
                <w:bCs/>
                <w:sz w:val="36"/>
                <w:szCs w:val="36"/>
              </w:rPr>
            </w:pPr>
            <w:r w:rsidRPr="00C80F3B">
              <w:rPr>
                <w:rFonts w:ascii="Times New Roman" w:eastAsia="Times New Roman" w:hAnsi="Times New Roman" w:cs="Times New Roman"/>
                <w:b/>
                <w:bCs/>
                <w:sz w:val="36"/>
                <w:szCs w:val="36"/>
              </w:rPr>
              <w:t xml:space="preserve">Effect of a </w:t>
            </w:r>
            <w:r w:rsidRPr="00C80F3B">
              <w:rPr>
                <w:rFonts w:ascii="Times New Roman" w:eastAsia="Times New Roman" w:hAnsi="Times New Roman" w:cs="Times New Roman"/>
                <w:b/>
                <w:bCs/>
                <w:i/>
                <w:iCs/>
                <w:sz w:val="36"/>
                <w:szCs w:val="36"/>
              </w:rPr>
              <w:t>CYP2D6</w:t>
            </w:r>
            <w:r w:rsidRPr="00C80F3B">
              <w:rPr>
                <w:rFonts w:ascii="Times New Roman" w:eastAsia="Times New Roman" w:hAnsi="Times New Roman" w:cs="Times New Roman"/>
                <w:b/>
                <w:bCs/>
                <w:sz w:val="36"/>
                <w:szCs w:val="36"/>
              </w:rPr>
              <w:t xml:space="preserve"> polymorphism</w:t>
            </w:r>
            <w:r>
              <w:rPr>
                <w:rFonts w:ascii="Times New Roman" w:eastAsia="Times New Roman" w:hAnsi="Times New Roman" w:cs="Times New Roman"/>
                <w:b/>
                <w:bCs/>
                <w:sz w:val="36"/>
                <w:szCs w:val="36"/>
              </w:rPr>
              <w:t xml:space="preserve"> i</w:t>
            </w:r>
            <w:r w:rsidRPr="00C80F3B">
              <w:rPr>
                <w:rFonts w:ascii="Times New Roman" w:eastAsia="Times New Roman" w:hAnsi="Times New Roman" w:cs="Times New Roman"/>
                <w:b/>
                <w:bCs/>
                <w:sz w:val="36"/>
                <w:szCs w:val="36"/>
              </w:rPr>
              <w:t>n the efficacy of donepezil in patients with Alzheimer disease</w:t>
            </w:r>
          </w:p>
          <w:p w:rsidR="00C80F3B" w:rsidRDefault="00C80F3B" w:rsidP="00C80F3B">
            <w:pPr>
              <w:spacing w:after="0" w:line="240" w:lineRule="auto"/>
              <w:rPr>
                <w:b/>
                <w:bCs/>
              </w:rPr>
            </w:pPr>
            <w:r w:rsidRPr="00C80F3B">
              <w:rPr>
                <w:rFonts w:ascii="Times New Roman" w:eastAsia="Times New Roman" w:hAnsi="Times New Roman" w:cs="Times New Roman"/>
                <w:b/>
                <w:bCs/>
                <w:sz w:val="24"/>
                <w:szCs w:val="24"/>
              </w:rPr>
              <w:t>Alberto Pilotto, MD, M. Franceschi, MD, G. D’Onofrio, PsyD, A. Bizzarro, MD, F. Mangialasche, MD, L. Cascavilla, MD, F. Paris, MD, M. G. Matera, BiolD, Andrea Pilotto, MD, A. Daniele, MD, P. Mecocci, MD, C. Masullo, MD, B. Dallapiccola, MD and D. Seripa, BiolD</w:t>
            </w:r>
          </w:p>
          <w:p w:rsidR="00C80F3B" w:rsidRDefault="00C80F3B" w:rsidP="00C80F3B">
            <w:pPr>
              <w:spacing w:after="0" w:line="240" w:lineRule="auto"/>
              <w:rPr>
                <w:rFonts w:ascii="Times New Roman" w:eastAsia="Times New Roman" w:hAnsi="Times New Roman" w:cs="Times New Roman"/>
                <w:sz w:val="24"/>
                <w:szCs w:val="24"/>
              </w:rPr>
            </w:pPr>
            <w:r>
              <w:rPr>
                <w:b/>
                <w:bCs/>
              </w:rPr>
              <w:t>Conclusions:</w:t>
            </w:r>
            <w:r>
              <w:t xml:space="preserve"> The single nucleotide polymorphism rs1080985 in</w:t>
            </w:r>
            <w:r>
              <w:rPr>
                <w:vertAlign w:val="superscript"/>
              </w:rPr>
              <w:t xml:space="preserve"> </w:t>
            </w:r>
            <w:r>
              <w:t xml:space="preserve">the </w:t>
            </w:r>
            <w:r>
              <w:rPr>
                <w:i/>
                <w:iCs/>
              </w:rPr>
              <w:t>CYP2D6</w:t>
            </w:r>
            <w:r>
              <w:t xml:space="preserve"> gene may influence the clinical efficacy of donepezil</w:t>
            </w:r>
            <w:r>
              <w:rPr>
                <w:vertAlign w:val="superscript"/>
              </w:rPr>
              <w:t xml:space="preserve"> </w:t>
            </w:r>
            <w:r>
              <w:t>in patients with mild to moderate Alzheimer disease (AD). The</w:t>
            </w:r>
            <w:r>
              <w:rPr>
                <w:vertAlign w:val="superscript"/>
              </w:rPr>
              <w:t xml:space="preserve"> </w:t>
            </w:r>
            <w:r>
              <w:t xml:space="preserve">analysis of </w:t>
            </w:r>
            <w:r>
              <w:rPr>
                <w:i/>
                <w:iCs/>
              </w:rPr>
              <w:t>CYP2D6</w:t>
            </w:r>
            <w:r>
              <w:t xml:space="preserve"> genotypes may be useful in identifying subgroups</w:t>
            </w:r>
            <w:r>
              <w:rPr>
                <w:vertAlign w:val="superscript"/>
              </w:rPr>
              <w:t xml:space="preserve"> </w:t>
            </w:r>
            <w:r>
              <w:t>of patients with AD who have different clinical responses to</w:t>
            </w:r>
            <w:r>
              <w:rPr>
                <w:vertAlign w:val="superscript"/>
              </w:rPr>
              <w:t xml:space="preserve"> </w:t>
            </w:r>
            <w:r>
              <w:t>donepezil.</w:t>
            </w:r>
          </w:p>
          <w:p w:rsidR="00C80F3B" w:rsidRDefault="00C80F3B" w:rsidP="00C80F3B">
            <w:pPr>
              <w:spacing w:after="0" w:line="240" w:lineRule="auto"/>
              <w:rPr>
                <w:rFonts w:ascii="Times New Roman" w:eastAsia="Times New Roman" w:hAnsi="Times New Roman" w:cs="Times New Roman"/>
                <w:sz w:val="24"/>
                <w:szCs w:val="24"/>
              </w:rPr>
            </w:pPr>
          </w:p>
          <w:p w:rsidR="00C80F3B" w:rsidRDefault="00C80F3B" w:rsidP="00C80F3B">
            <w:pPr>
              <w:spacing w:after="0" w:line="240" w:lineRule="auto"/>
              <w:rPr>
                <w:rFonts w:ascii="Times New Roman" w:eastAsia="Times New Roman" w:hAnsi="Times New Roman" w:cs="Times New Roman"/>
                <w:sz w:val="24"/>
                <w:szCs w:val="24"/>
              </w:rPr>
            </w:pPr>
          </w:p>
          <w:p w:rsidR="00C80F3B" w:rsidRDefault="00C80F3B" w:rsidP="00C80F3B">
            <w:pPr>
              <w:spacing w:after="0" w:line="240" w:lineRule="auto"/>
              <w:rPr>
                <w:rFonts w:ascii="Times New Roman" w:eastAsia="Times New Roman" w:hAnsi="Times New Roman" w:cs="Times New Roman"/>
                <w:sz w:val="24"/>
                <w:szCs w:val="24"/>
              </w:rPr>
            </w:pPr>
          </w:p>
          <w:p w:rsidR="00C80F3B" w:rsidRPr="00C80F3B" w:rsidRDefault="00C80F3B" w:rsidP="00C80F3B">
            <w:pPr>
              <w:spacing w:after="0" w:line="240" w:lineRule="auto"/>
              <w:rPr>
                <w:rFonts w:ascii="Times New Roman" w:eastAsia="Times New Roman" w:hAnsi="Times New Roman" w:cs="Times New Roman"/>
                <w:sz w:val="24"/>
                <w:szCs w:val="24"/>
              </w:rPr>
            </w:pPr>
            <w:r w:rsidRPr="00C80F3B">
              <w:rPr>
                <w:rFonts w:ascii="Times New Roman" w:eastAsia="Times New Roman" w:hAnsi="Times New Roman" w:cs="Times New Roman"/>
                <w:sz w:val="24"/>
                <w:szCs w:val="24"/>
              </w:rPr>
              <w:t xml:space="preserve">Psychiatry (Edgmont). 5(2): 51–56. </w:t>
            </w:r>
          </w:p>
          <w:p w:rsidR="00C80F3B" w:rsidRPr="00C80F3B" w:rsidRDefault="00C80F3B" w:rsidP="00C80F3B">
            <w:pPr>
              <w:spacing w:after="0" w:line="240" w:lineRule="auto"/>
              <w:rPr>
                <w:rFonts w:ascii="Times New Roman" w:eastAsia="Times New Roman" w:hAnsi="Times New Roman" w:cs="Times New Roman"/>
                <w:sz w:val="24"/>
                <w:szCs w:val="24"/>
              </w:rPr>
            </w:pPr>
            <w:r w:rsidRPr="00C80F3B">
              <w:rPr>
                <w:rFonts w:ascii="Times New Roman" w:eastAsia="Times New Roman" w:hAnsi="Times New Roman" w:cs="Times New Roman"/>
                <w:sz w:val="24"/>
                <w:szCs w:val="24"/>
              </w:rPr>
              <w:t xml:space="preserve">Published online 2008 February. </w:t>
            </w:r>
          </w:p>
        </w:tc>
        <w:tc>
          <w:tcPr>
            <w:tcW w:w="1975" w:type="pct"/>
          </w:tcPr>
          <w:p w:rsidR="00C80F3B" w:rsidRDefault="00C80F3B" w:rsidP="00C80F3B">
            <w:pPr>
              <w:spacing w:after="0" w:line="240" w:lineRule="auto"/>
              <w:rPr>
                <w:rFonts w:ascii="Times New Roman" w:eastAsia="Times New Roman" w:hAnsi="Times New Roman" w:cs="Times New Roman"/>
                <w:sz w:val="24"/>
                <w:szCs w:val="24"/>
              </w:rPr>
            </w:pPr>
          </w:p>
          <w:p w:rsidR="00C80F3B" w:rsidRDefault="00C80F3B" w:rsidP="00C80F3B">
            <w:pPr>
              <w:spacing w:after="0" w:line="240" w:lineRule="auto"/>
              <w:rPr>
                <w:rFonts w:ascii="Times New Roman" w:eastAsia="Times New Roman" w:hAnsi="Times New Roman" w:cs="Times New Roman"/>
                <w:sz w:val="24"/>
                <w:szCs w:val="24"/>
              </w:rPr>
            </w:pPr>
          </w:p>
          <w:p w:rsidR="00C80F3B" w:rsidRDefault="00C80F3B" w:rsidP="00C80F3B">
            <w:pPr>
              <w:spacing w:after="0" w:line="240" w:lineRule="auto"/>
              <w:rPr>
                <w:rFonts w:ascii="Times New Roman" w:eastAsia="Times New Roman" w:hAnsi="Times New Roman" w:cs="Times New Roman"/>
                <w:sz w:val="24"/>
                <w:szCs w:val="24"/>
              </w:rPr>
            </w:pPr>
          </w:p>
          <w:p w:rsidR="00C80F3B" w:rsidRDefault="00C80F3B" w:rsidP="00C80F3B">
            <w:pPr>
              <w:spacing w:after="0" w:line="240" w:lineRule="auto"/>
              <w:rPr>
                <w:rFonts w:ascii="Times New Roman" w:eastAsia="Times New Roman" w:hAnsi="Times New Roman" w:cs="Times New Roman"/>
                <w:sz w:val="24"/>
                <w:szCs w:val="24"/>
              </w:rPr>
            </w:pPr>
          </w:p>
          <w:p w:rsidR="00C80F3B" w:rsidRDefault="00C80F3B" w:rsidP="00C80F3B">
            <w:pPr>
              <w:spacing w:after="0" w:line="240" w:lineRule="auto"/>
              <w:rPr>
                <w:rFonts w:ascii="Times New Roman" w:eastAsia="Times New Roman" w:hAnsi="Times New Roman" w:cs="Times New Roman"/>
                <w:sz w:val="24"/>
                <w:szCs w:val="24"/>
              </w:rPr>
            </w:pPr>
          </w:p>
          <w:p w:rsidR="00C80F3B" w:rsidRDefault="00C80F3B" w:rsidP="00C80F3B">
            <w:pPr>
              <w:spacing w:after="0" w:line="240" w:lineRule="auto"/>
              <w:rPr>
                <w:rFonts w:ascii="Times New Roman" w:eastAsia="Times New Roman" w:hAnsi="Times New Roman" w:cs="Times New Roman"/>
                <w:sz w:val="24"/>
                <w:szCs w:val="24"/>
              </w:rPr>
            </w:pPr>
          </w:p>
          <w:p w:rsidR="00C80F3B" w:rsidRDefault="00C80F3B" w:rsidP="00C80F3B">
            <w:pPr>
              <w:spacing w:after="0" w:line="240" w:lineRule="auto"/>
              <w:rPr>
                <w:rFonts w:ascii="Times New Roman" w:eastAsia="Times New Roman" w:hAnsi="Times New Roman" w:cs="Times New Roman"/>
                <w:sz w:val="24"/>
                <w:szCs w:val="24"/>
              </w:rPr>
            </w:pPr>
          </w:p>
          <w:p w:rsidR="00C80F3B" w:rsidRPr="00C80F3B" w:rsidRDefault="00C80F3B" w:rsidP="00C80F3B">
            <w:pPr>
              <w:spacing w:after="0" w:line="240" w:lineRule="auto"/>
              <w:rPr>
                <w:rFonts w:ascii="Times New Roman" w:eastAsia="Times New Roman" w:hAnsi="Times New Roman" w:cs="Times New Roman"/>
                <w:sz w:val="24"/>
                <w:szCs w:val="24"/>
              </w:rPr>
            </w:pPr>
            <w:r w:rsidRPr="00C80F3B">
              <w:rPr>
                <w:rFonts w:ascii="Times New Roman" w:eastAsia="Times New Roman" w:hAnsi="Times New Roman" w:cs="Times New Roman"/>
                <w:sz w:val="24"/>
                <w:szCs w:val="24"/>
              </w:rPr>
              <w:t>PMCID: PMC2731690</w:t>
            </w:r>
          </w:p>
        </w:tc>
      </w:tr>
    </w:tbl>
    <w:p w:rsidR="00C80F3B" w:rsidRPr="00C80F3B" w:rsidRDefault="0053301F" w:rsidP="00C80F3B">
      <w:pPr>
        <w:spacing w:after="0" w:line="240" w:lineRule="auto"/>
        <w:rPr>
          <w:rFonts w:ascii="Times New Roman" w:eastAsia="Times New Roman" w:hAnsi="Times New Roman" w:cs="Times New Roman"/>
          <w:sz w:val="24"/>
          <w:szCs w:val="24"/>
        </w:rPr>
      </w:pPr>
      <w:hyperlink r:id="rId6" w:history="1">
        <w:r w:rsidR="00C80F3B" w:rsidRPr="00C80F3B">
          <w:rPr>
            <w:rFonts w:ascii="Times New Roman" w:eastAsia="Times New Roman" w:hAnsi="Times New Roman" w:cs="Times New Roman"/>
            <w:color w:val="0000FF"/>
            <w:sz w:val="24"/>
            <w:szCs w:val="24"/>
            <w:u w:val="single"/>
          </w:rPr>
          <w:t>Copyright notice</w:t>
        </w:r>
      </w:hyperlink>
      <w:r w:rsidR="00C80F3B" w:rsidRPr="00C80F3B">
        <w:rPr>
          <w:rFonts w:ascii="Times New Roman" w:eastAsia="Times New Roman" w:hAnsi="Times New Roman" w:cs="Times New Roman"/>
          <w:sz w:val="24"/>
          <w:szCs w:val="24"/>
        </w:rPr>
        <w:t xml:space="preserve"> </w:t>
      </w:r>
    </w:p>
    <w:p w:rsidR="00C80F3B" w:rsidRPr="00C80F3B" w:rsidRDefault="00C80F3B" w:rsidP="00C80F3B">
      <w:pPr>
        <w:spacing w:after="0" w:line="240" w:lineRule="auto"/>
        <w:rPr>
          <w:rFonts w:ascii="Times New Roman" w:eastAsia="Times New Roman" w:hAnsi="Times New Roman" w:cs="Times New Roman"/>
          <w:sz w:val="24"/>
          <w:szCs w:val="24"/>
        </w:rPr>
      </w:pPr>
      <w:r w:rsidRPr="00C80F3B">
        <w:rPr>
          <w:rFonts w:ascii="Times New Roman" w:eastAsia="Times New Roman" w:hAnsi="Times New Roman" w:cs="Times New Roman"/>
          <w:sz w:val="24"/>
          <w:szCs w:val="24"/>
        </w:rPr>
        <w:t>Biomarkers for the Identification and Treatment of Dementia</w:t>
      </w:r>
    </w:p>
    <w:p w:rsidR="00C80F3B" w:rsidRPr="00C80F3B" w:rsidRDefault="00C80F3B" w:rsidP="00C80F3B">
      <w:pPr>
        <w:spacing w:after="0" w:line="240" w:lineRule="auto"/>
        <w:rPr>
          <w:rFonts w:ascii="Times New Roman" w:eastAsia="Times New Roman" w:hAnsi="Times New Roman" w:cs="Times New Roman"/>
          <w:sz w:val="24"/>
          <w:szCs w:val="24"/>
        </w:rPr>
      </w:pPr>
      <w:r w:rsidRPr="00C80F3B">
        <w:rPr>
          <w:rFonts w:ascii="Times New Roman" w:eastAsia="Times New Roman" w:hAnsi="Times New Roman" w:cs="Times New Roman"/>
          <w:sz w:val="24"/>
          <w:szCs w:val="24"/>
        </w:rPr>
        <w:t>Steven D. Targum, MD</w:t>
      </w:r>
      <w:r>
        <w:rPr>
          <w:rFonts w:ascii="Times New Roman" w:eastAsia="Times New Roman" w:hAnsi="Times New Roman" w:cs="Times New Roman"/>
          <w:noProof/>
          <w:sz w:val="24"/>
          <w:szCs w:val="24"/>
          <w:vertAlign w:val="superscript"/>
        </w:rPr>
        <w:drawing>
          <wp:inline distT="0" distB="0" distL="0" distR="0">
            <wp:extent cx="66675" cy="85725"/>
            <wp:effectExtent l="19050" t="0" r="9525" b="0"/>
            <wp:docPr id="1" name="Picture 1" descr="corresponding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esponding author"/>
                    <pic:cNvPicPr>
                      <a:picLocks noChangeAspect="1" noChangeArrowheads="1"/>
                    </pic:cNvPicPr>
                  </pic:nvPicPr>
                  <pic:blipFill>
                    <a:blip r:embed="rId7" cstate="print"/>
                    <a:srcRect/>
                    <a:stretch>
                      <a:fillRect/>
                    </a:stretch>
                  </pic:blipFill>
                  <pic:spPr bwMode="auto">
                    <a:xfrm>
                      <a:off x="0" y="0"/>
                      <a:ext cx="66675" cy="85725"/>
                    </a:xfrm>
                    <a:prstGeom prst="rect">
                      <a:avLst/>
                    </a:prstGeom>
                    <a:noFill/>
                    <a:ln w="9525">
                      <a:noFill/>
                      <a:miter lim="800000"/>
                      <a:headEnd/>
                      <a:tailEnd/>
                    </a:ln>
                  </pic:spPr>
                </pic:pic>
              </a:graphicData>
            </a:graphic>
          </wp:inline>
        </w:drawing>
      </w:r>
    </w:p>
    <w:p w:rsidR="00C80F3B" w:rsidRDefault="00C80F3B"/>
    <w:p w:rsidR="00C80F3B" w:rsidRDefault="00C80F3B">
      <w:r>
        <w:t>The currently available cholinesterase-inhibitor drug therapies are based on the “cholinergic hypothesis” and suggest that AD is due to reduced biosynthesis of the neurotransmitter acetylcholine. In clinical practice, the acetylcholinsterase-inhibitors (AchE-I) only treat symptoms of the disease and have neither halted nor reversed it. Although these drugs provide some initial benefit, they do not affect the underlying molecular basis of AD and are therefore not neuroprotective. Instead, contemporary research has focused on whether or how to interfere with the toxic effects of the aggregated abnormal proteins, β-amyloid and tau. Essentially, there is no clinical value-added for measuring biomarkers during treatment with cholinesterase-inhibitors.</w:t>
      </w:r>
    </w:p>
    <w:p w:rsidR="00F01FDC" w:rsidRPr="00761782" w:rsidRDefault="00761782">
      <w:pPr>
        <w:rPr>
          <w:b/>
          <w:sz w:val="28"/>
          <w:szCs w:val="28"/>
          <w:u w:val="single"/>
        </w:rPr>
      </w:pPr>
      <w:r w:rsidRPr="00761782">
        <w:rPr>
          <w:b/>
          <w:sz w:val="28"/>
          <w:szCs w:val="28"/>
          <w:u w:val="single"/>
        </w:rPr>
        <w:t>Neuro-Imaging</w:t>
      </w:r>
    </w:p>
    <w:p w:rsidR="00761782" w:rsidRDefault="00761782" w:rsidP="00761782">
      <w:r>
        <w:rPr>
          <w:sz w:val="20"/>
          <w:szCs w:val="20"/>
        </w:rPr>
        <w:t>Am J Psychiatry 162:676-682, April 2005</w:t>
      </w:r>
      <w:r>
        <w:rPr>
          <w:sz w:val="20"/>
          <w:szCs w:val="20"/>
        </w:rPr>
        <w:br/>
        <w:t xml:space="preserve">© 2005 </w:t>
      </w:r>
      <w:hyperlink r:id="rId8" w:history="1">
        <w:r>
          <w:rPr>
            <w:rStyle w:val="Hyperlink"/>
            <w:sz w:val="20"/>
            <w:szCs w:val="20"/>
          </w:rPr>
          <w:t>American Psychiatric Association</w:t>
        </w:r>
      </w:hyperlink>
      <w:r>
        <w:rPr>
          <w:sz w:val="20"/>
          <w:szCs w:val="20"/>
        </w:rPr>
        <w:t xml:space="preserve"> </w:t>
      </w:r>
    </w:p>
    <w:p w:rsidR="00761782" w:rsidRDefault="00761782" w:rsidP="00761782">
      <w:pPr>
        <w:pStyle w:val="Heading2"/>
      </w:pPr>
      <w:r>
        <w:t xml:space="preserve">Does Donepezil Treatment Slow the Progression of Hippocampal Atrophy in Patients With Alzheimer’s Disease? </w:t>
      </w:r>
    </w:p>
    <w:p w:rsidR="00761782" w:rsidRDefault="00761782" w:rsidP="00761782">
      <w:r>
        <w:rPr>
          <w:rStyle w:val="Strong"/>
        </w:rPr>
        <w:t>Mamoru Hashimoto, M.D., Ph.D., Hiroaki Kazui, M.D., Ph.D., Keiji Matsumoto, M.D., Yoko Nakano, M.D., Ph.D., Minoru Yasuda, M.D., Ph.D., and Etsuro Mori, M.D., Ph.D.</w:t>
      </w:r>
    </w:p>
    <w:p w:rsidR="00761782" w:rsidRDefault="00761782">
      <w:r>
        <w:rPr>
          <w:b/>
          <w:bCs/>
        </w:rPr>
        <w:t>CONCLUSIONS:</w:t>
      </w:r>
      <w:r>
        <w:rPr>
          <w:b/>
          <w:bCs/>
          <w:vertAlign w:val="superscript"/>
        </w:rPr>
        <w:t xml:space="preserve"> </w:t>
      </w:r>
      <w:r>
        <w:t>Donepezil treatment slows the progression of hippocampal atrophy,</w:t>
      </w:r>
      <w:r>
        <w:rPr>
          <w:vertAlign w:val="superscript"/>
        </w:rPr>
        <w:t xml:space="preserve"> </w:t>
      </w:r>
      <w:r>
        <w:t>suggesting a neuroprotective effect of donepezil in Alzheimer’s</w:t>
      </w:r>
      <w:r>
        <w:rPr>
          <w:vertAlign w:val="superscript"/>
        </w:rPr>
        <w:t xml:space="preserve"> </w:t>
      </w:r>
      <w:r>
        <w:t>disease.</w:t>
      </w:r>
    </w:p>
    <w:p w:rsidR="00F01FDC" w:rsidRDefault="00F01FDC"/>
    <w:p w:rsidR="00F01FDC" w:rsidRDefault="00F01FDC"/>
    <w:p w:rsidR="00F01FDC" w:rsidRDefault="00F01FDC"/>
    <w:p w:rsidR="00F01FDC" w:rsidRDefault="00F01FDC"/>
    <w:p w:rsidR="00F01FDC" w:rsidRDefault="00F01FDC"/>
    <w:p w:rsidR="00F01FDC" w:rsidRDefault="00F01FDC"/>
    <w:p w:rsidR="008A0372" w:rsidRDefault="008A0372"/>
    <w:p w:rsidR="008A0372" w:rsidRDefault="008A0372"/>
    <w:p w:rsidR="008A0372" w:rsidRDefault="008A0372"/>
    <w:p w:rsidR="008A0372" w:rsidRDefault="008A0372"/>
    <w:p w:rsidR="00F01FDC" w:rsidRPr="00180260" w:rsidRDefault="00F01FDC" w:rsidP="00F01FDC">
      <w:pPr>
        <w:spacing w:before="100" w:beforeAutospacing="1" w:after="100" w:afterAutospacing="1" w:line="240" w:lineRule="auto"/>
        <w:outlineLvl w:val="1"/>
        <w:rPr>
          <w:rFonts w:ascii="Times New Roman" w:eastAsia="Times New Roman" w:hAnsi="Times New Roman"/>
          <w:b/>
          <w:bCs/>
          <w:sz w:val="36"/>
          <w:szCs w:val="36"/>
        </w:rPr>
      </w:pPr>
      <w:r>
        <w:rPr>
          <w:rFonts w:ascii="Times New Roman" w:eastAsia="Times New Roman" w:hAnsi="Times New Roman"/>
          <w:b/>
          <w:bCs/>
          <w:sz w:val="36"/>
          <w:szCs w:val="36"/>
        </w:rPr>
        <w:t>This Fake Patient’s Values are in the Far Right Column</w:t>
      </w:r>
    </w:p>
    <w:p w:rsidR="00F01FDC" w:rsidRPr="00180260" w:rsidRDefault="00F01FDC" w:rsidP="00F01FDC">
      <w:pPr>
        <w:spacing w:before="100" w:beforeAutospacing="1" w:after="100" w:afterAutospacing="1" w:line="240" w:lineRule="auto"/>
        <w:outlineLvl w:val="2"/>
        <w:rPr>
          <w:rFonts w:ascii="Times New Roman" w:eastAsia="Times New Roman" w:hAnsi="Times New Roman"/>
          <w:b/>
          <w:bCs/>
          <w:sz w:val="27"/>
          <w:szCs w:val="27"/>
        </w:rPr>
      </w:pPr>
      <w:bookmarkStart w:id="0" w:name="Electrolytes_and_Metabolytess"/>
      <w:r w:rsidRPr="00180260">
        <w:rPr>
          <w:rFonts w:ascii="Times New Roman" w:eastAsia="Times New Roman" w:hAnsi="Times New Roman"/>
          <w:b/>
          <w:bCs/>
          <w:sz w:val="27"/>
          <w:szCs w:val="27"/>
        </w:rPr>
        <w:t>Electrolytes and Metabolytess</w:t>
      </w:r>
      <w:bookmarkEnd w:id="0"/>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65"/>
        <w:gridCol w:w="1844"/>
        <w:gridCol w:w="1212"/>
      </w:tblGrid>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jc w:val="center"/>
              <w:rPr>
                <w:rFonts w:ascii="Times New Roman" w:eastAsia="Times New Roman" w:hAnsi="Times New Roman"/>
                <w:b/>
                <w:bCs/>
                <w:sz w:val="24"/>
                <w:szCs w:val="24"/>
              </w:rPr>
            </w:pPr>
            <w:r w:rsidRPr="00180260">
              <w:rPr>
                <w:rFonts w:ascii="Times New Roman" w:eastAsia="Times New Roman" w:hAnsi="Times New Roman"/>
                <w:b/>
                <w:bCs/>
                <w:sz w:val="24"/>
                <w:szCs w:val="24"/>
              </w:rPr>
              <w:t>Test</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jc w:val="center"/>
              <w:rPr>
                <w:rFonts w:ascii="Times New Roman" w:eastAsia="Times New Roman" w:hAnsi="Times New Roman"/>
                <w:b/>
                <w:bCs/>
                <w:sz w:val="24"/>
                <w:szCs w:val="24"/>
              </w:rPr>
            </w:pPr>
            <w:r w:rsidRPr="00180260">
              <w:rPr>
                <w:rFonts w:ascii="Times New Roman" w:eastAsia="Times New Roman" w:hAnsi="Times New Roman"/>
                <w:b/>
                <w:bCs/>
                <w:sz w:val="24"/>
                <w:szCs w:val="24"/>
              </w:rPr>
              <w:t>Range</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jc w:val="center"/>
              <w:rPr>
                <w:rFonts w:ascii="Times New Roman" w:eastAsia="Times New Roman" w:hAnsi="Times New Roman"/>
                <w:b/>
                <w:bCs/>
                <w:sz w:val="24"/>
                <w:szCs w:val="24"/>
              </w:rPr>
            </w:pPr>
            <w:r w:rsidRPr="00180260">
              <w:rPr>
                <w:rFonts w:ascii="Times New Roman" w:eastAsia="Times New Roman" w:hAnsi="Times New Roman"/>
                <w:b/>
                <w:bCs/>
                <w:sz w:val="24"/>
                <w:szCs w:val="24"/>
              </w:rPr>
              <w:t>Comments</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9" w:tooltip="Sodium" w:history="1">
              <w:r w:rsidR="00F01FDC" w:rsidRPr="00180260">
                <w:rPr>
                  <w:rFonts w:ascii="Times New Roman" w:eastAsia="Times New Roman" w:hAnsi="Times New Roman"/>
                  <w:color w:val="0000FF"/>
                  <w:sz w:val="24"/>
                  <w:szCs w:val="24"/>
                  <w:u w:val="single"/>
                </w:rPr>
                <w:t>Sodium</w:t>
              </w:r>
            </w:hyperlink>
            <w:r w:rsidR="00F01FDC" w:rsidRPr="00180260">
              <w:rPr>
                <w:rFonts w:ascii="Times New Roman" w:eastAsia="Times New Roman" w:hAnsi="Times New Roman"/>
                <w:sz w:val="24"/>
                <w:szCs w:val="24"/>
              </w:rPr>
              <w:t xml:space="preserve"> (Na)</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130 - 145 mmol/L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E10EAF">
              <w:rPr>
                <w:rFonts w:ascii="Times New Roman" w:eastAsia="Times New Roman" w:hAnsi="Times New Roman"/>
                <w:sz w:val="24"/>
                <w:szCs w:val="24"/>
              </w:rPr>
              <w:t>130</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10" w:tooltip="Potassium" w:history="1">
              <w:r w:rsidR="00F01FDC" w:rsidRPr="00180260">
                <w:rPr>
                  <w:rFonts w:ascii="Times New Roman" w:eastAsia="Times New Roman" w:hAnsi="Times New Roman"/>
                  <w:color w:val="0000FF"/>
                  <w:sz w:val="24"/>
                  <w:szCs w:val="24"/>
                  <w:u w:val="single"/>
                </w:rPr>
                <w:t>Potassium</w:t>
              </w:r>
            </w:hyperlink>
            <w:r w:rsidR="00F01FDC" w:rsidRPr="00180260">
              <w:rPr>
                <w:rFonts w:ascii="Times New Roman" w:eastAsia="Times New Roman" w:hAnsi="Times New Roman"/>
                <w:sz w:val="24"/>
                <w:szCs w:val="24"/>
              </w:rPr>
              <w:t xml:space="preserve"> (K)</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3.5 - 5.0 mmol/L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3.9</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11" w:tooltip="Urea" w:history="1">
              <w:r w:rsidR="00F01FDC" w:rsidRPr="00180260">
                <w:rPr>
                  <w:rFonts w:ascii="Times New Roman" w:eastAsia="Times New Roman" w:hAnsi="Times New Roman"/>
                  <w:color w:val="0000FF"/>
                  <w:sz w:val="24"/>
                  <w:szCs w:val="24"/>
                  <w:u w:val="single"/>
                </w:rPr>
                <w:t>Urea</w:t>
              </w:r>
            </w:hyperlink>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2.6 - 6.8 mmol/L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12" w:tooltip="Creatinine" w:history="1">
              <w:r w:rsidR="00F01FDC" w:rsidRPr="00180260">
                <w:rPr>
                  <w:rFonts w:ascii="Times New Roman" w:eastAsia="Times New Roman" w:hAnsi="Times New Roman"/>
                  <w:color w:val="0000FF"/>
                  <w:sz w:val="24"/>
                  <w:szCs w:val="24"/>
                  <w:u w:val="single"/>
                </w:rPr>
                <w:t>Creatinine</w:t>
              </w:r>
            </w:hyperlink>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50 - 110 μmol/L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100</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13" w:tooltip="Glucose" w:history="1">
              <w:r w:rsidR="00F01FDC" w:rsidRPr="00180260">
                <w:rPr>
                  <w:rFonts w:ascii="Times New Roman" w:eastAsia="Times New Roman" w:hAnsi="Times New Roman"/>
                  <w:color w:val="0000FF"/>
                  <w:sz w:val="24"/>
                  <w:szCs w:val="24"/>
                  <w:u w:val="single"/>
                </w:rPr>
                <w:t>Glucose</w:t>
              </w:r>
            </w:hyperlink>
            <w:r w:rsidR="00F01FDC" w:rsidRPr="00180260">
              <w:rPr>
                <w:rFonts w:ascii="Times New Roman" w:eastAsia="Times New Roman" w:hAnsi="Times New Roman"/>
                <w:sz w:val="24"/>
                <w:szCs w:val="24"/>
              </w:rPr>
              <w:t xml:space="preserve"> (fasting)</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4.2 - 6.1 mmol/L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r>
    </w:tbl>
    <w:p w:rsidR="00F01FDC" w:rsidRPr="00180260" w:rsidRDefault="00F01FDC" w:rsidP="00F01FDC">
      <w:pPr>
        <w:spacing w:before="100" w:beforeAutospacing="1" w:after="100" w:afterAutospacing="1" w:line="240" w:lineRule="auto"/>
        <w:outlineLvl w:val="2"/>
        <w:rPr>
          <w:rFonts w:ascii="Times New Roman" w:eastAsia="Times New Roman" w:hAnsi="Times New Roman"/>
          <w:b/>
          <w:bCs/>
          <w:sz w:val="27"/>
          <w:szCs w:val="27"/>
        </w:rPr>
      </w:pPr>
      <w:bookmarkStart w:id="1" w:name="Liver_function_tests"/>
      <w:r w:rsidRPr="00180260">
        <w:rPr>
          <w:rFonts w:ascii="Times New Roman" w:eastAsia="Times New Roman" w:hAnsi="Times New Roman"/>
          <w:b/>
          <w:bCs/>
          <w:sz w:val="27"/>
          <w:szCs w:val="27"/>
        </w:rPr>
        <w:t>Liver function tests</w:t>
      </w:r>
      <w:bookmarkEnd w:id="1"/>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78"/>
        <w:gridCol w:w="1426"/>
        <w:gridCol w:w="465"/>
      </w:tblGrid>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Total Protein</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60 - 80 g/L</w:t>
            </w:r>
          </w:p>
        </w:tc>
        <w:tc>
          <w:tcPr>
            <w:tcW w:w="80" w:type="dxa"/>
            <w:tcBorders>
              <w:top w:val="outset" w:sz="6" w:space="0" w:color="auto"/>
              <w:left w:val="outset" w:sz="6" w:space="0" w:color="auto"/>
              <w:bottom w:val="outset" w:sz="6" w:space="0" w:color="auto"/>
              <w:right w:val="outset" w:sz="6" w:space="0" w:color="auto"/>
            </w:tcBorders>
            <w:vAlign w:val="center"/>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70</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14" w:tooltip="Albumin" w:history="1">
              <w:r w:rsidR="00F01FDC" w:rsidRPr="00180260">
                <w:rPr>
                  <w:rFonts w:ascii="Times New Roman" w:eastAsia="Times New Roman" w:hAnsi="Times New Roman"/>
                  <w:color w:val="0000FF"/>
                  <w:sz w:val="24"/>
                  <w:szCs w:val="24"/>
                  <w:u w:val="single"/>
                </w:rPr>
                <w:t>Albumin</w:t>
              </w:r>
            </w:hyperlink>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30 - 50 g/L</w:t>
            </w:r>
          </w:p>
        </w:tc>
        <w:tc>
          <w:tcPr>
            <w:tcW w:w="80" w:type="dxa"/>
            <w:tcBorders>
              <w:top w:val="outset" w:sz="6" w:space="0" w:color="auto"/>
              <w:left w:val="outset" w:sz="6" w:space="0" w:color="auto"/>
              <w:bottom w:val="outset" w:sz="6" w:space="0" w:color="auto"/>
              <w:right w:val="outset" w:sz="6" w:space="0" w:color="auto"/>
            </w:tcBorders>
            <w:vAlign w:val="center"/>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45</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 xml:space="preserve">Total </w:t>
            </w:r>
            <w:hyperlink r:id="rId15" w:tooltip="Bilirubin" w:history="1">
              <w:r w:rsidRPr="00180260">
                <w:rPr>
                  <w:rFonts w:ascii="Times New Roman" w:eastAsia="Times New Roman" w:hAnsi="Times New Roman"/>
                  <w:color w:val="0000FF"/>
                  <w:sz w:val="24"/>
                  <w:szCs w:val="24"/>
                  <w:u w:val="single"/>
                </w:rPr>
                <w:t>Bilirubin</w:t>
              </w:r>
            </w:hyperlink>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2 - 14 μmol/L</w:t>
            </w:r>
          </w:p>
        </w:tc>
        <w:tc>
          <w:tcPr>
            <w:tcW w:w="80" w:type="dxa"/>
            <w:tcBorders>
              <w:top w:val="outset" w:sz="6" w:space="0" w:color="auto"/>
              <w:left w:val="outset" w:sz="6" w:space="0" w:color="auto"/>
              <w:bottom w:val="outset" w:sz="6" w:space="0" w:color="auto"/>
              <w:right w:val="outset" w:sz="6" w:space="0" w:color="auto"/>
            </w:tcBorders>
            <w:vAlign w:val="center"/>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11</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Direct Bilirubin</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0 - 4 μmol/L</w:t>
            </w:r>
          </w:p>
        </w:tc>
        <w:tc>
          <w:tcPr>
            <w:tcW w:w="80" w:type="dxa"/>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16" w:tooltip="Alanine_transaminase" w:history="1">
              <w:r w:rsidR="00F01FDC" w:rsidRPr="00180260">
                <w:rPr>
                  <w:rFonts w:ascii="Times New Roman" w:eastAsia="Times New Roman" w:hAnsi="Times New Roman"/>
                  <w:color w:val="0000FF"/>
                  <w:sz w:val="24"/>
                  <w:szCs w:val="24"/>
                  <w:u w:val="single"/>
                </w:rPr>
                <w:t>Alanine transaminase</w:t>
              </w:r>
            </w:hyperlink>
            <w:r w:rsidR="00F01FDC" w:rsidRPr="00180260">
              <w:rPr>
                <w:rFonts w:ascii="Times New Roman" w:eastAsia="Times New Roman" w:hAnsi="Times New Roman"/>
                <w:sz w:val="24"/>
                <w:szCs w:val="24"/>
              </w:rPr>
              <w:t xml:space="preserve"> (ALT)</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8 - 40 U/L</w:t>
            </w:r>
          </w:p>
        </w:tc>
        <w:tc>
          <w:tcPr>
            <w:tcW w:w="80" w:type="dxa"/>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50</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Alkaline phosphatase (ALP)</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40 - 130 U/L</w:t>
            </w:r>
          </w:p>
        </w:tc>
        <w:tc>
          <w:tcPr>
            <w:tcW w:w="80" w:type="dxa"/>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120</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Gamma glutamyl transferase</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&lt; 50 U/L</w:t>
            </w:r>
          </w:p>
        </w:tc>
        <w:tc>
          <w:tcPr>
            <w:tcW w:w="80" w:type="dxa"/>
            <w:tcBorders>
              <w:top w:val="outset" w:sz="6" w:space="0" w:color="auto"/>
              <w:left w:val="outset" w:sz="6" w:space="0" w:color="auto"/>
              <w:bottom w:val="outset" w:sz="6" w:space="0" w:color="auto"/>
              <w:right w:val="outset" w:sz="6" w:space="0" w:color="auto"/>
            </w:tcBorders>
            <w:vAlign w:val="center"/>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100</w:t>
            </w:r>
          </w:p>
        </w:tc>
      </w:tr>
    </w:tbl>
    <w:p w:rsidR="00F01FDC" w:rsidRPr="00180260" w:rsidRDefault="00F01FDC" w:rsidP="00F01FDC">
      <w:pPr>
        <w:spacing w:before="100" w:beforeAutospacing="1" w:after="100" w:afterAutospacing="1" w:line="240" w:lineRule="auto"/>
        <w:outlineLvl w:val="2"/>
        <w:rPr>
          <w:rFonts w:ascii="Times New Roman" w:eastAsia="Times New Roman" w:hAnsi="Times New Roman"/>
          <w:b/>
          <w:bCs/>
          <w:sz w:val="27"/>
          <w:szCs w:val="27"/>
        </w:rPr>
      </w:pPr>
      <w:bookmarkStart w:id="2" w:name="Other_enzymes_and_proteins"/>
      <w:r w:rsidRPr="00180260">
        <w:rPr>
          <w:rFonts w:ascii="Times New Roman" w:eastAsia="Times New Roman" w:hAnsi="Times New Roman"/>
          <w:b/>
          <w:bCs/>
          <w:sz w:val="27"/>
          <w:szCs w:val="27"/>
        </w:rPr>
        <w:t>Other enzymes and proteins</w:t>
      </w:r>
      <w:bookmarkEnd w:id="2"/>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24"/>
        <w:gridCol w:w="1337"/>
        <w:gridCol w:w="465"/>
      </w:tblGrid>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17" w:tooltip="Creatine_kinase" w:history="1">
              <w:r w:rsidR="00F01FDC" w:rsidRPr="00180260">
                <w:rPr>
                  <w:rFonts w:ascii="Times New Roman" w:eastAsia="Times New Roman" w:hAnsi="Times New Roman"/>
                  <w:color w:val="0000FF"/>
                  <w:sz w:val="24"/>
                  <w:szCs w:val="24"/>
                  <w:u w:val="single"/>
                </w:rPr>
                <w:t>Creatine kinase</w:t>
              </w:r>
            </w:hyperlink>
            <w:r w:rsidR="00F01FDC" w:rsidRPr="00180260">
              <w:rPr>
                <w:rFonts w:ascii="Times New Roman" w:eastAsia="Times New Roman" w:hAnsi="Times New Roman"/>
                <w:sz w:val="24"/>
                <w:szCs w:val="24"/>
              </w:rPr>
              <w:t xml:space="preserve"> (CK)</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22 - 198 U/L</w:t>
            </w:r>
          </w:p>
        </w:tc>
        <w:tc>
          <w:tcPr>
            <w:tcW w:w="154" w:type="dxa"/>
            <w:tcBorders>
              <w:top w:val="outset" w:sz="6" w:space="0" w:color="auto"/>
              <w:left w:val="outset" w:sz="6" w:space="0" w:color="auto"/>
              <w:bottom w:val="outset" w:sz="6" w:space="0" w:color="auto"/>
              <w:right w:val="outset" w:sz="6" w:space="0" w:color="auto"/>
            </w:tcBorders>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84</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Aspartate transaminase (AST)</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8 - 35 U/L</w:t>
            </w:r>
          </w:p>
        </w:tc>
        <w:tc>
          <w:tcPr>
            <w:tcW w:w="154" w:type="dxa"/>
            <w:tcBorders>
              <w:top w:val="outset" w:sz="6" w:space="0" w:color="auto"/>
              <w:left w:val="outset" w:sz="6" w:space="0" w:color="auto"/>
              <w:bottom w:val="outset" w:sz="6" w:space="0" w:color="auto"/>
              <w:right w:val="outset" w:sz="6" w:space="0" w:color="auto"/>
            </w:tcBorders>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32</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18" w:tooltip="Lactate_dehydrogenase" w:history="1">
              <w:r w:rsidR="00F01FDC" w:rsidRPr="00180260">
                <w:rPr>
                  <w:rFonts w:ascii="Times New Roman" w:eastAsia="Times New Roman" w:hAnsi="Times New Roman"/>
                  <w:color w:val="0000FF"/>
                  <w:sz w:val="24"/>
                  <w:szCs w:val="24"/>
                  <w:u w:val="single"/>
                </w:rPr>
                <w:t>Lactate dehydrogenase</w:t>
              </w:r>
            </w:hyperlink>
            <w:r w:rsidR="00F01FDC" w:rsidRPr="00180260">
              <w:rPr>
                <w:rFonts w:ascii="Times New Roman" w:eastAsia="Times New Roman" w:hAnsi="Times New Roman"/>
                <w:sz w:val="24"/>
                <w:szCs w:val="24"/>
              </w:rPr>
              <w:t xml:space="preserve"> (LDH)</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85 - 285 U/L</w:t>
            </w:r>
          </w:p>
        </w:tc>
        <w:tc>
          <w:tcPr>
            <w:tcW w:w="154" w:type="dxa"/>
            <w:tcBorders>
              <w:top w:val="outset" w:sz="6" w:space="0" w:color="auto"/>
              <w:left w:val="outset" w:sz="6" w:space="0" w:color="auto"/>
              <w:bottom w:val="outset" w:sz="6" w:space="0" w:color="auto"/>
              <w:right w:val="outset" w:sz="6" w:space="0" w:color="auto"/>
            </w:tcBorders>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201</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19" w:tooltip="Amylase" w:history="1">
              <w:r w:rsidR="00F01FDC" w:rsidRPr="00180260">
                <w:rPr>
                  <w:rFonts w:ascii="Times New Roman" w:eastAsia="Times New Roman" w:hAnsi="Times New Roman"/>
                  <w:color w:val="0000FF"/>
                  <w:sz w:val="24"/>
                  <w:szCs w:val="24"/>
                  <w:u w:val="single"/>
                </w:rPr>
                <w:t>Amylase</w:t>
              </w:r>
            </w:hyperlink>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25 - 125 U/L</w:t>
            </w:r>
          </w:p>
        </w:tc>
        <w:tc>
          <w:tcPr>
            <w:tcW w:w="154" w:type="dxa"/>
            <w:tcBorders>
              <w:top w:val="outset" w:sz="6" w:space="0" w:color="auto"/>
              <w:left w:val="outset" w:sz="6" w:space="0" w:color="auto"/>
              <w:bottom w:val="outset" w:sz="6" w:space="0" w:color="auto"/>
              <w:right w:val="outset" w:sz="6" w:space="0" w:color="auto"/>
            </w:tcBorders>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80</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20" w:tooltip="C-reactive_protein" w:history="1">
              <w:r w:rsidR="00F01FDC" w:rsidRPr="00180260">
                <w:rPr>
                  <w:rFonts w:ascii="Times New Roman" w:eastAsia="Times New Roman" w:hAnsi="Times New Roman"/>
                  <w:color w:val="0000FF"/>
                  <w:sz w:val="24"/>
                  <w:szCs w:val="24"/>
                  <w:u w:val="single"/>
                </w:rPr>
                <w:t>C-reactive protein</w:t>
              </w:r>
            </w:hyperlink>
            <w:r w:rsidR="00F01FDC" w:rsidRPr="00180260">
              <w:rPr>
                <w:rFonts w:ascii="Times New Roman" w:eastAsia="Times New Roman" w:hAnsi="Times New Roman"/>
                <w:sz w:val="24"/>
                <w:szCs w:val="24"/>
              </w:rPr>
              <w:t xml:space="preserve"> (CRP)</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&lt;8 mg/L</w:t>
            </w:r>
          </w:p>
        </w:tc>
        <w:tc>
          <w:tcPr>
            <w:tcW w:w="154" w:type="dxa"/>
            <w:tcBorders>
              <w:top w:val="outset" w:sz="6" w:space="0" w:color="auto"/>
              <w:left w:val="outset" w:sz="6" w:space="0" w:color="auto"/>
              <w:bottom w:val="outset" w:sz="6" w:space="0" w:color="auto"/>
              <w:right w:val="outset" w:sz="6" w:space="0" w:color="auto"/>
            </w:tcBorders>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r>
    </w:tbl>
    <w:p w:rsidR="00F01FDC" w:rsidRPr="00180260" w:rsidRDefault="00F01FDC" w:rsidP="00F01FDC">
      <w:pPr>
        <w:spacing w:before="100" w:beforeAutospacing="1" w:after="100" w:afterAutospacing="1" w:line="240" w:lineRule="auto"/>
        <w:outlineLvl w:val="2"/>
        <w:rPr>
          <w:rFonts w:ascii="Times New Roman" w:eastAsia="Times New Roman" w:hAnsi="Times New Roman"/>
          <w:b/>
          <w:bCs/>
          <w:sz w:val="27"/>
          <w:szCs w:val="27"/>
        </w:rPr>
      </w:pPr>
      <w:bookmarkStart w:id="3" w:name="Other_ions_and_trace_metals"/>
      <w:r w:rsidRPr="00180260">
        <w:rPr>
          <w:rFonts w:ascii="Times New Roman" w:eastAsia="Times New Roman" w:hAnsi="Times New Roman"/>
          <w:b/>
          <w:bCs/>
          <w:sz w:val="27"/>
          <w:szCs w:val="27"/>
        </w:rPr>
        <w:t>Other ions and trace metals</w:t>
      </w:r>
      <w:bookmarkEnd w:id="3"/>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18"/>
        <w:gridCol w:w="1964"/>
        <w:gridCol w:w="525"/>
      </w:tblGrid>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 xml:space="preserve">Ionised </w:t>
            </w:r>
            <w:hyperlink r:id="rId21" w:tooltip="Calcium" w:history="1">
              <w:r w:rsidRPr="00180260">
                <w:rPr>
                  <w:rFonts w:ascii="Times New Roman" w:eastAsia="Times New Roman" w:hAnsi="Times New Roman"/>
                  <w:color w:val="0000FF"/>
                  <w:sz w:val="24"/>
                  <w:szCs w:val="24"/>
                  <w:u w:val="single"/>
                </w:rPr>
                <w:t>calcium</w:t>
              </w:r>
            </w:hyperlink>
            <w:r w:rsidRPr="00180260">
              <w:rPr>
                <w:rFonts w:ascii="Times New Roman" w:eastAsia="Times New Roman" w:hAnsi="Times New Roman"/>
                <w:sz w:val="24"/>
                <w:szCs w:val="24"/>
              </w:rPr>
              <w:t xml:space="preserve"> (Ca)</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1.15 - 1.29 mmol/L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p w:rsidR="00F01FDC"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1.01    </w:t>
            </w:r>
          </w:p>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Total calcium (Ca)</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2.05 - 2.55 mmol/L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2.09</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22" w:tooltip="Copper" w:history="1">
              <w:r w:rsidR="00F01FDC" w:rsidRPr="00180260">
                <w:rPr>
                  <w:rFonts w:ascii="Times New Roman" w:eastAsia="Times New Roman" w:hAnsi="Times New Roman"/>
                  <w:color w:val="0000FF"/>
                  <w:sz w:val="24"/>
                  <w:szCs w:val="24"/>
                  <w:u w:val="single"/>
                </w:rPr>
                <w:t>Copper</w:t>
              </w:r>
            </w:hyperlink>
            <w:r w:rsidR="00F01FDC" w:rsidRPr="00180260">
              <w:rPr>
                <w:rFonts w:ascii="Times New Roman" w:eastAsia="Times New Roman" w:hAnsi="Times New Roman"/>
                <w:sz w:val="24"/>
                <w:szCs w:val="24"/>
              </w:rPr>
              <w:t xml:space="preserve"> (Cu)</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11 - 26 μmol/L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23" w:tooltip="Zinc" w:history="1">
              <w:r w:rsidR="00F01FDC" w:rsidRPr="00180260">
                <w:rPr>
                  <w:rFonts w:ascii="Times New Roman" w:eastAsia="Times New Roman" w:hAnsi="Times New Roman"/>
                  <w:color w:val="0000FF"/>
                  <w:sz w:val="24"/>
                  <w:szCs w:val="24"/>
                  <w:u w:val="single"/>
                </w:rPr>
                <w:t>Zinc</w:t>
              </w:r>
            </w:hyperlink>
            <w:r w:rsidR="00F01FDC" w:rsidRPr="00180260">
              <w:rPr>
                <w:rFonts w:ascii="Times New Roman" w:eastAsia="Times New Roman" w:hAnsi="Times New Roman"/>
                <w:sz w:val="24"/>
                <w:szCs w:val="24"/>
              </w:rPr>
              <w:t xml:space="preserve"> (Zn)</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10 - 17 μmol/L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p>
        </w:tc>
      </w:tr>
    </w:tbl>
    <w:p w:rsidR="00F01FDC" w:rsidRPr="00180260" w:rsidRDefault="00F01FDC" w:rsidP="00F01FDC">
      <w:pPr>
        <w:spacing w:before="100" w:beforeAutospacing="1" w:after="100" w:afterAutospacing="1" w:line="240" w:lineRule="auto"/>
        <w:outlineLvl w:val="2"/>
        <w:rPr>
          <w:rFonts w:ascii="Times New Roman" w:eastAsia="Times New Roman" w:hAnsi="Times New Roman"/>
          <w:b/>
          <w:bCs/>
          <w:sz w:val="27"/>
          <w:szCs w:val="27"/>
        </w:rPr>
      </w:pPr>
      <w:bookmarkStart w:id="4" w:name="Lipids"/>
      <w:r w:rsidRPr="00180260">
        <w:rPr>
          <w:rFonts w:ascii="Times New Roman" w:eastAsia="Times New Roman" w:hAnsi="Times New Roman"/>
          <w:b/>
          <w:bCs/>
          <w:sz w:val="27"/>
          <w:szCs w:val="27"/>
        </w:rPr>
        <w:t>Lipids</w:t>
      </w:r>
      <w:bookmarkEnd w:id="4"/>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98"/>
        <w:gridCol w:w="1724"/>
        <w:gridCol w:w="405"/>
      </w:tblGrid>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24" w:tooltip="Triglyceride" w:history="1">
              <w:r w:rsidR="00F01FDC" w:rsidRPr="00180260">
                <w:rPr>
                  <w:rFonts w:ascii="Times New Roman" w:eastAsia="Times New Roman" w:hAnsi="Times New Roman"/>
                  <w:color w:val="0000FF"/>
                  <w:sz w:val="24"/>
                  <w:szCs w:val="24"/>
                  <w:u w:val="single"/>
                </w:rPr>
                <w:t>Triglycerides</w:t>
              </w:r>
            </w:hyperlink>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0.4 - 2.0 mmol/L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2.2</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 xml:space="preserve">Total </w:t>
            </w:r>
            <w:hyperlink r:id="rId25" w:tooltip="Cholesterol" w:history="1">
              <w:r w:rsidRPr="00180260">
                <w:rPr>
                  <w:rFonts w:ascii="Times New Roman" w:eastAsia="Times New Roman" w:hAnsi="Times New Roman"/>
                  <w:color w:val="0000FF"/>
                  <w:sz w:val="24"/>
                  <w:szCs w:val="24"/>
                  <w:u w:val="single"/>
                </w:rPr>
                <w:t>cholesterol</w:t>
              </w:r>
            </w:hyperlink>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3.0 - 5.5 mmol/L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26" w:tooltip="High_density_lipoprotein" w:history="1">
              <w:r w:rsidR="00F01FDC" w:rsidRPr="00180260">
                <w:rPr>
                  <w:rFonts w:ascii="Times New Roman" w:eastAsia="Times New Roman" w:hAnsi="Times New Roman"/>
                  <w:color w:val="0000FF"/>
                  <w:sz w:val="24"/>
                  <w:szCs w:val="24"/>
                  <w:u w:val="single"/>
                </w:rPr>
                <w:t>HDL cholesterol</w:t>
              </w:r>
            </w:hyperlink>
            <w:r w:rsidR="00F01FDC" w:rsidRPr="00180260">
              <w:rPr>
                <w:rFonts w:ascii="Times New Roman" w:eastAsia="Times New Roman" w:hAnsi="Times New Roman"/>
                <w:sz w:val="24"/>
                <w:szCs w:val="24"/>
              </w:rPr>
              <w:t xml:space="preserve"> (male)</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0.7 - 1.9 mmol/L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jc w:val="right"/>
              <w:rPr>
                <w:rFonts w:ascii="Times New Roman" w:eastAsia="Times New Roman" w:hAnsi="Times New Roman"/>
                <w:sz w:val="24"/>
                <w:szCs w:val="24"/>
              </w:rPr>
            </w:pPr>
            <w:r w:rsidRPr="00180260">
              <w:rPr>
                <w:rFonts w:ascii="Times New Roman" w:eastAsia="Times New Roman" w:hAnsi="Times New Roman"/>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0.9 - 2.4 mmol/L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27" w:tooltip="Low_density_lipoprotein" w:history="1">
              <w:r w:rsidR="00F01FDC" w:rsidRPr="00180260">
                <w:rPr>
                  <w:rFonts w:ascii="Times New Roman" w:eastAsia="Times New Roman" w:hAnsi="Times New Roman"/>
                  <w:color w:val="0000FF"/>
                  <w:sz w:val="24"/>
                  <w:szCs w:val="24"/>
                  <w:u w:val="single"/>
                </w:rPr>
                <w:t>LDL cholesterol</w:t>
              </w:r>
            </w:hyperlink>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2.4 - 4.0 mmol/l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r>
    </w:tbl>
    <w:p w:rsidR="00F01FDC" w:rsidRPr="00180260" w:rsidRDefault="00F01FDC" w:rsidP="00F01FDC">
      <w:pPr>
        <w:spacing w:before="100" w:beforeAutospacing="1" w:after="100" w:afterAutospacing="1" w:line="240" w:lineRule="auto"/>
        <w:outlineLvl w:val="2"/>
        <w:rPr>
          <w:rFonts w:ascii="Times New Roman" w:eastAsia="Times New Roman" w:hAnsi="Times New Roman"/>
          <w:b/>
          <w:bCs/>
          <w:sz w:val="27"/>
          <w:szCs w:val="27"/>
        </w:rPr>
      </w:pPr>
      <w:bookmarkStart w:id="5" w:name="Tumour_markers"/>
      <w:r w:rsidRPr="00180260">
        <w:rPr>
          <w:rFonts w:ascii="Times New Roman" w:eastAsia="Times New Roman" w:hAnsi="Times New Roman"/>
          <w:b/>
          <w:bCs/>
          <w:sz w:val="27"/>
          <w:szCs w:val="27"/>
        </w:rPr>
        <w:t>Tumour markers</w:t>
      </w:r>
      <w:bookmarkEnd w:id="5"/>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98"/>
        <w:gridCol w:w="1177"/>
        <w:gridCol w:w="225"/>
      </w:tblGrid>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28" w:tooltip="Alpha-fetoprotein" w:history="1">
              <w:r w:rsidR="00F01FDC" w:rsidRPr="00180260">
                <w:rPr>
                  <w:rFonts w:ascii="Times New Roman" w:eastAsia="Times New Roman" w:hAnsi="Times New Roman"/>
                  <w:color w:val="0000FF"/>
                  <w:sz w:val="24"/>
                  <w:szCs w:val="24"/>
                  <w:u w:val="single"/>
                </w:rPr>
                <w:t>Alpha-fetoprotein</w:t>
              </w:r>
            </w:hyperlink>
            <w:r w:rsidR="00F01FDC" w:rsidRPr="00180260">
              <w:rPr>
                <w:rFonts w:ascii="Times New Roman" w:eastAsia="Times New Roman" w:hAnsi="Times New Roman"/>
                <w:sz w:val="24"/>
                <w:szCs w:val="24"/>
              </w:rPr>
              <w:t xml:space="preserve"> (AFP)</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1-15 kIU/L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CA-125</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&lt;65 kU/L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29" w:tooltip="Prostate_specific_antigen" w:history="1">
              <w:r w:rsidR="00F01FDC" w:rsidRPr="00180260">
                <w:rPr>
                  <w:rFonts w:ascii="Times New Roman" w:eastAsia="Times New Roman" w:hAnsi="Times New Roman"/>
                  <w:color w:val="0000FF"/>
                  <w:sz w:val="24"/>
                  <w:szCs w:val="24"/>
                  <w:u w:val="single"/>
                </w:rPr>
                <w:t>Prostate specific antigen</w:t>
              </w:r>
            </w:hyperlink>
            <w:r w:rsidR="00F01FDC" w:rsidRPr="00180260">
              <w:rPr>
                <w:rFonts w:ascii="Times New Roman" w:eastAsia="Times New Roman" w:hAnsi="Times New Roman"/>
                <w:sz w:val="24"/>
                <w:szCs w:val="24"/>
              </w:rPr>
              <w:t xml:space="preserve"> (total PSA)</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&lt;2.0 μg/L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3  </w:t>
            </w:r>
          </w:p>
        </w:tc>
      </w:tr>
    </w:tbl>
    <w:p w:rsidR="00F01FDC" w:rsidRPr="00180260" w:rsidRDefault="00F01FDC" w:rsidP="00F01FDC">
      <w:pPr>
        <w:spacing w:before="100" w:beforeAutospacing="1" w:after="100" w:afterAutospacing="1" w:line="240" w:lineRule="auto"/>
        <w:outlineLvl w:val="2"/>
        <w:rPr>
          <w:rFonts w:ascii="Times New Roman" w:eastAsia="Times New Roman" w:hAnsi="Times New Roman"/>
          <w:b/>
          <w:bCs/>
          <w:sz w:val="27"/>
          <w:szCs w:val="27"/>
        </w:rPr>
      </w:pPr>
      <w:bookmarkStart w:id="6" w:name="Hormones"/>
      <w:r w:rsidRPr="00180260">
        <w:rPr>
          <w:rFonts w:ascii="Times New Roman" w:eastAsia="Times New Roman" w:hAnsi="Times New Roman"/>
          <w:b/>
          <w:bCs/>
          <w:sz w:val="27"/>
          <w:szCs w:val="27"/>
        </w:rPr>
        <w:t>Hormones</w:t>
      </w:r>
      <w:bookmarkEnd w:id="6"/>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38"/>
        <w:gridCol w:w="1777"/>
        <w:gridCol w:w="465"/>
      </w:tblGrid>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30" w:tooltip="Thyroid-stimulating_hormone" w:history="1">
              <w:r w:rsidR="00F01FDC" w:rsidRPr="00180260">
                <w:rPr>
                  <w:rFonts w:ascii="Times New Roman" w:eastAsia="Times New Roman" w:hAnsi="Times New Roman"/>
                  <w:color w:val="0000FF"/>
                  <w:sz w:val="24"/>
                  <w:szCs w:val="24"/>
                  <w:u w:val="single"/>
                </w:rPr>
                <w:t>Thyroid stimulating hormone</w:t>
              </w:r>
            </w:hyperlink>
            <w:r w:rsidR="00F01FDC" w:rsidRPr="00180260">
              <w:rPr>
                <w:rFonts w:ascii="Times New Roman" w:eastAsia="Times New Roman" w:hAnsi="Times New Roman"/>
                <w:sz w:val="24"/>
                <w:szCs w:val="24"/>
              </w:rPr>
              <w:t xml:space="preserve"> (TSH)</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0.5 - 4.7 mIU/L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 xml:space="preserve">Free </w:t>
            </w:r>
            <w:hyperlink r:id="rId31" w:tooltip="Thyroid_hormone" w:history="1">
              <w:r w:rsidRPr="00180260">
                <w:rPr>
                  <w:rFonts w:ascii="Times New Roman" w:eastAsia="Times New Roman" w:hAnsi="Times New Roman"/>
                  <w:color w:val="0000FF"/>
                  <w:sz w:val="24"/>
                  <w:szCs w:val="24"/>
                  <w:u w:val="single"/>
                </w:rPr>
                <w:t>thyroxine</w:t>
              </w:r>
            </w:hyperlink>
            <w:r w:rsidRPr="00180260">
              <w:rPr>
                <w:rFonts w:ascii="Times New Roman" w:eastAsia="Times New Roman" w:hAnsi="Times New Roman"/>
                <w:sz w:val="24"/>
                <w:szCs w:val="24"/>
              </w:rPr>
              <w:t xml:space="preserve"> (FT</w:t>
            </w:r>
            <w:r w:rsidRPr="00180260">
              <w:rPr>
                <w:rFonts w:ascii="Times New Roman" w:eastAsia="Times New Roman" w:hAnsi="Times New Roman"/>
                <w:sz w:val="24"/>
                <w:szCs w:val="24"/>
                <w:vertAlign w:val="subscript"/>
              </w:rPr>
              <w:t>4</w:t>
            </w:r>
            <w:r w:rsidRPr="00180260">
              <w:rPr>
                <w:rFonts w:ascii="Times New Roman" w:eastAsia="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9.0 - 24 pmol/L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 xml:space="preserve">Free </w:t>
            </w:r>
            <w:hyperlink r:id="rId32" w:tooltip="Thyroid_hormone" w:history="1">
              <w:r w:rsidRPr="00180260">
                <w:rPr>
                  <w:rFonts w:ascii="Times New Roman" w:eastAsia="Times New Roman" w:hAnsi="Times New Roman"/>
                  <w:color w:val="0000FF"/>
                  <w:sz w:val="24"/>
                  <w:szCs w:val="24"/>
                  <w:u w:val="single"/>
                </w:rPr>
                <w:t>triiodothyronine</w:t>
              </w:r>
            </w:hyperlink>
            <w:r w:rsidRPr="00180260">
              <w:rPr>
                <w:rFonts w:ascii="Times New Roman" w:eastAsia="Times New Roman" w:hAnsi="Times New Roman"/>
                <w:sz w:val="24"/>
                <w:szCs w:val="24"/>
              </w:rPr>
              <w:t xml:space="preserve"> (FT</w:t>
            </w:r>
            <w:r w:rsidRPr="00180260">
              <w:rPr>
                <w:rFonts w:ascii="Times New Roman" w:eastAsia="Times New Roman" w:hAnsi="Times New Roman"/>
                <w:sz w:val="24"/>
                <w:szCs w:val="24"/>
                <w:vertAlign w:val="subscript"/>
              </w:rPr>
              <w:t>3</w:t>
            </w:r>
            <w:r w:rsidRPr="00180260">
              <w:rPr>
                <w:rFonts w:ascii="Times New Roman" w:eastAsia="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2.5 - 5.3 pmol/L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33" w:tooltip="Adrenocorticotropic_hormone" w:history="1">
              <w:r w:rsidR="00F01FDC" w:rsidRPr="00180260">
                <w:rPr>
                  <w:rFonts w:ascii="Times New Roman" w:eastAsia="Times New Roman" w:hAnsi="Times New Roman"/>
                  <w:color w:val="0000FF"/>
                  <w:sz w:val="24"/>
                  <w:szCs w:val="24"/>
                  <w:u w:val="single"/>
                </w:rPr>
                <w:t>Adrenocorticotropic hormone</w:t>
              </w:r>
            </w:hyperlink>
            <w:r w:rsidR="00F01FDC" w:rsidRPr="00180260">
              <w:rPr>
                <w:rFonts w:ascii="Times New Roman" w:eastAsia="Times New Roman" w:hAnsi="Times New Roman"/>
                <w:sz w:val="24"/>
                <w:szCs w:val="24"/>
              </w:rPr>
              <w:t xml:space="preserve"> (ACTH)</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1.3 - 15 pmol/L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34" w:tooltip="Cortisol" w:history="1">
              <w:r w:rsidR="00F01FDC" w:rsidRPr="00180260">
                <w:rPr>
                  <w:rFonts w:ascii="Times New Roman" w:eastAsia="Times New Roman" w:hAnsi="Times New Roman"/>
                  <w:color w:val="0000FF"/>
                  <w:sz w:val="24"/>
                  <w:szCs w:val="24"/>
                  <w:u w:val="single"/>
                </w:rPr>
                <w:t>Cortisol</w:t>
              </w:r>
            </w:hyperlink>
            <w:r w:rsidR="00F01FDC" w:rsidRPr="00180260">
              <w:rPr>
                <w:rFonts w:ascii="Times New Roman" w:eastAsia="Times New Roman" w:hAnsi="Times New Roman"/>
                <w:sz w:val="24"/>
                <w:szCs w:val="24"/>
              </w:rPr>
              <w:t xml:space="preserve"> (0830 h)</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250 - 850 nmol/L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401</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Cortisol (1630 h)</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110 - 390 nmol/L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35" w:tooltip="Prolactin" w:history="1">
              <w:r w:rsidR="00F01FDC" w:rsidRPr="00180260">
                <w:rPr>
                  <w:rFonts w:ascii="Times New Roman" w:eastAsia="Times New Roman" w:hAnsi="Times New Roman"/>
                  <w:color w:val="0000FF"/>
                  <w:sz w:val="24"/>
                  <w:szCs w:val="24"/>
                  <w:u w:val="single"/>
                </w:rPr>
                <w:t>Prolactin</w:t>
              </w:r>
            </w:hyperlink>
            <w:r w:rsidR="00F01FDC" w:rsidRPr="00180260">
              <w:rPr>
                <w:rFonts w:ascii="Times New Roman" w:eastAsia="Times New Roman" w:hAnsi="Times New Roman"/>
                <w:sz w:val="24"/>
                <w:szCs w:val="24"/>
              </w:rPr>
              <w:t xml:space="preserve"> (male)</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&lt;450 mIU/L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jc w:val="right"/>
              <w:rPr>
                <w:rFonts w:ascii="Times New Roman" w:eastAsia="Times New Roman" w:hAnsi="Times New Roman"/>
                <w:sz w:val="24"/>
                <w:szCs w:val="24"/>
              </w:rPr>
            </w:pPr>
            <w:r w:rsidRPr="00180260">
              <w:rPr>
                <w:rFonts w:ascii="Times New Roman" w:eastAsia="Times New Roman" w:hAnsi="Times New Roman"/>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&lt;580 mIU/L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36" w:tooltip="Testosterone" w:history="1">
              <w:r w:rsidR="00F01FDC" w:rsidRPr="00180260">
                <w:rPr>
                  <w:rFonts w:ascii="Times New Roman" w:eastAsia="Times New Roman" w:hAnsi="Times New Roman"/>
                  <w:color w:val="0000FF"/>
                  <w:sz w:val="24"/>
                  <w:szCs w:val="24"/>
                  <w:u w:val="single"/>
                </w:rPr>
                <w:t>Testosterone</w:t>
              </w:r>
            </w:hyperlink>
            <w:r w:rsidR="00F01FDC" w:rsidRPr="00180260">
              <w:rPr>
                <w:rFonts w:ascii="Times New Roman" w:eastAsia="Times New Roman" w:hAnsi="Times New Roman"/>
                <w:sz w:val="24"/>
                <w:szCs w:val="24"/>
              </w:rPr>
              <w:t xml:space="preserve"> (male)</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8 - 38 nmol/L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jc w:val="right"/>
              <w:rPr>
                <w:rFonts w:ascii="Times New Roman" w:eastAsia="Times New Roman" w:hAnsi="Times New Roman"/>
                <w:sz w:val="24"/>
                <w:szCs w:val="24"/>
              </w:rPr>
            </w:pPr>
            <w:r w:rsidRPr="00180260">
              <w:rPr>
                <w:rFonts w:ascii="Times New Roman" w:eastAsia="Times New Roman" w:hAnsi="Times New Roman"/>
                <w:sz w:val="24"/>
                <w:szCs w:val="24"/>
              </w:rPr>
              <w:t>(male prepuberty)</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0.1 - 0.5 nmol/L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jc w:val="right"/>
              <w:rPr>
                <w:rFonts w:ascii="Times New Roman" w:eastAsia="Times New Roman" w:hAnsi="Times New Roman"/>
                <w:sz w:val="24"/>
                <w:szCs w:val="24"/>
              </w:rPr>
            </w:pPr>
            <w:r w:rsidRPr="00180260">
              <w:rPr>
                <w:rFonts w:ascii="Times New Roman" w:eastAsia="Times New Roman" w:hAnsi="Times New Roman"/>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0.3 - 2.5 nmol/L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p>
        </w:tc>
      </w:tr>
    </w:tbl>
    <w:p w:rsidR="00F01FDC" w:rsidRPr="00180260" w:rsidRDefault="00F01FDC" w:rsidP="00F01FDC">
      <w:pPr>
        <w:spacing w:before="100" w:beforeAutospacing="1" w:after="100" w:afterAutospacing="1" w:line="240" w:lineRule="auto"/>
        <w:outlineLvl w:val="1"/>
        <w:rPr>
          <w:rFonts w:ascii="Times New Roman" w:eastAsia="Times New Roman" w:hAnsi="Times New Roman"/>
          <w:b/>
          <w:bCs/>
          <w:sz w:val="36"/>
          <w:szCs w:val="36"/>
        </w:rPr>
      </w:pPr>
      <w:bookmarkStart w:id="7" w:name="Haematology"/>
      <w:r w:rsidRPr="00180260">
        <w:rPr>
          <w:rFonts w:ascii="Times New Roman" w:eastAsia="Times New Roman" w:hAnsi="Times New Roman"/>
          <w:b/>
          <w:bCs/>
          <w:sz w:val="36"/>
          <w:szCs w:val="36"/>
        </w:rPr>
        <w:t>Haematology</w:t>
      </w:r>
      <w:bookmarkEnd w:id="7"/>
    </w:p>
    <w:p w:rsidR="00F01FDC" w:rsidRPr="00180260" w:rsidRDefault="00F01FDC" w:rsidP="00F01FDC">
      <w:pPr>
        <w:spacing w:before="100" w:beforeAutospacing="1" w:after="100" w:afterAutospacing="1" w:line="240" w:lineRule="auto"/>
        <w:outlineLvl w:val="2"/>
        <w:rPr>
          <w:rFonts w:ascii="Times New Roman" w:eastAsia="Times New Roman" w:hAnsi="Times New Roman"/>
          <w:b/>
          <w:bCs/>
          <w:sz w:val="27"/>
          <w:szCs w:val="27"/>
        </w:rPr>
      </w:pPr>
      <w:bookmarkStart w:id="8" w:name="Red_blood_cells"/>
      <w:r w:rsidRPr="00180260">
        <w:rPr>
          <w:rFonts w:ascii="Times New Roman" w:eastAsia="Times New Roman" w:hAnsi="Times New Roman"/>
          <w:b/>
          <w:bCs/>
          <w:sz w:val="27"/>
          <w:szCs w:val="27"/>
        </w:rPr>
        <w:t>Red blood cells</w:t>
      </w:r>
      <w:bookmarkEnd w:id="8"/>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38"/>
        <w:gridCol w:w="1684"/>
        <w:gridCol w:w="4098"/>
      </w:tblGrid>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37" w:tooltip="Hemoglobin" w:history="1">
              <w:r w:rsidR="00F01FDC" w:rsidRPr="00180260">
                <w:rPr>
                  <w:rFonts w:ascii="Times New Roman" w:eastAsia="Times New Roman" w:hAnsi="Times New Roman"/>
                  <w:color w:val="0000FF"/>
                  <w:sz w:val="24"/>
                  <w:szCs w:val="24"/>
                  <w:u w:val="single"/>
                </w:rPr>
                <w:t>Haemoglobin</w:t>
              </w:r>
            </w:hyperlink>
            <w:r w:rsidR="00F01FDC" w:rsidRPr="00180260">
              <w:rPr>
                <w:rFonts w:ascii="Times New Roman" w:eastAsia="Times New Roman" w:hAnsi="Times New Roman"/>
                <w:sz w:val="24"/>
                <w:szCs w:val="24"/>
              </w:rPr>
              <w:t xml:space="preserve"> (Hb) (male)</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130 - 180 g/L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140</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jc w:val="right"/>
              <w:rPr>
                <w:rFonts w:ascii="Times New Roman" w:eastAsia="Times New Roman" w:hAnsi="Times New Roman"/>
                <w:sz w:val="24"/>
                <w:szCs w:val="24"/>
              </w:rPr>
            </w:pPr>
            <w:r w:rsidRPr="00180260">
              <w:rPr>
                <w:rFonts w:ascii="Times New Roman" w:eastAsia="Times New Roman" w:hAnsi="Times New Roman"/>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115 - 160 g/L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Sex difference negligible until adulthood.</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38" w:tooltip="Hematocrit" w:history="1">
              <w:r w:rsidR="00F01FDC" w:rsidRPr="00180260">
                <w:rPr>
                  <w:rFonts w:ascii="Times New Roman" w:eastAsia="Times New Roman" w:hAnsi="Times New Roman"/>
                  <w:color w:val="0000FF"/>
                  <w:sz w:val="24"/>
                  <w:szCs w:val="24"/>
                  <w:u w:val="single"/>
                </w:rPr>
                <w:t>Haematocrit</w:t>
              </w:r>
            </w:hyperlink>
            <w:r w:rsidR="00F01FDC" w:rsidRPr="00180260">
              <w:rPr>
                <w:rFonts w:ascii="Times New Roman" w:eastAsia="Times New Roman" w:hAnsi="Times New Roman"/>
                <w:sz w:val="24"/>
                <w:szCs w:val="24"/>
              </w:rPr>
              <w:t xml:space="preserve"> (Hct) (male)</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0.38 - 0.52</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jc w:val="right"/>
              <w:rPr>
                <w:rFonts w:ascii="Times New Roman" w:eastAsia="Times New Roman" w:hAnsi="Times New Roman"/>
                <w:sz w:val="24"/>
                <w:szCs w:val="24"/>
              </w:rPr>
            </w:pPr>
            <w:r w:rsidRPr="00180260">
              <w:rPr>
                <w:rFonts w:ascii="Times New Roman" w:eastAsia="Times New Roman" w:hAnsi="Times New Roman"/>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0.35 - 0.47</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Mean cell volume (MCV)</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80 - 98 fL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89</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Mean cell haemoglobin (MCH)</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26 - 34 pg</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31</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Red cell count (male)</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4.5 - 6.5 x10</w:t>
            </w:r>
            <w:r w:rsidRPr="00180260">
              <w:rPr>
                <w:rFonts w:ascii="Times New Roman" w:eastAsia="Times New Roman" w:hAnsi="Times New Roman"/>
                <w:sz w:val="24"/>
                <w:szCs w:val="24"/>
                <w:vertAlign w:val="superscript"/>
              </w:rPr>
              <w:t>12</w:t>
            </w:r>
            <w:r w:rsidRPr="00180260">
              <w:rPr>
                <w:rFonts w:ascii="Times New Roman" w:eastAsia="Times New Roman" w:hAnsi="Times New Roman"/>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jc w:val="right"/>
              <w:rPr>
                <w:rFonts w:ascii="Times New Roman" w:eastAsia="Times New Roman" w:hAnsi="Times New Roman"/>
                <w:sz w:val="24"/>
                <w:szCs w:val="24"/>
              </w:rPr>
            </w:pPr>
            <w:r w:rsidRPr="00180260">
              <w:rPr>
                <w:rFonts w:ascii="Times New Roman" w:eastAsia="Times New Roman" w:hAnsi="Times New Roman"/>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3.8 - 5.8 x10</w:t>
            </w:r>
            <w:r w:rsidRPr="00180260">
              <w:rPr>
                <w:rFonts w:ascii="Times New Roman" w:eastAsia="Times New Roman" w:hAnsi="Times New Roman"/>
                <w:sz w:val="24"/>
                <w:szCs w:val="24"/>
                <w:vertAlign w:val="superscript"/>
              </w:rPr>
              <w:t>12</w:t>
            </w:r>
            <w:r w:rsidRPr="00180260">
              <w:rPr>
                <w:rFonts w:ascii="Times New Roman" w:eastAsia="Times New Roman" w:hAnsi="Times New Roman"/>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Reticulocytes</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10 - 100 x10</w:t>
            </w:r>
            <w:r w:rsidRPr="00180260">
              <w:rPr>
                <w:rFonts w:ascii="Times New Roman" w:eastAsia="Times New Roman" w:hAnsi="Times New Roman"/>
                <w:sz w:val="24"/>
                <w:szCs w:val="24"/>
                <w:vertAlign w:val="superscript"/>
              </w:rPr>
              <w:t>9</w:t>
            </w:r>
            <w:r w:rsidRPr="00180260">
              <w:rPr>
                <w:rFonts w:ascii="Times New Roman" w:eastAsia="Times New Roman" w:hAnsi="Times New Roman"/>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39" w:tooltip="Erythrocyte_sedimentation_rate" w:history="1">
              <w:r w:rsidR="00F01FDC" w:rsidRPr="00180260">
                <w:rPr>
                  <w:rFonts w:ascii="Times New Roman" w:eastAsia="Times New Roman" w:hAnsi="Times New Roman"/>
                  <w:color w:val="0000FF"/>
                  <w:sz w:val="24"/>
                  <w:szCs w:val="24"/>
                  <w:u w:val="single"/>
                </w:rPr>
                <w:t>Erythrocyte</w:t>
              </w:r>
            </w:hyperlink>
            <w:r w:rsidR="00F01FDC" w:rsidRPr="00180260">
              <w:rPr>
                <w:rFonts w:ascii="Times New Roman" w:eastAsia="Times New Roman" w:hAnsi="Times New Roman"/>
                <w:sz w:val="24"/>
                <w:szCs w:val="24"/>
              </w:rPr>
              <w:br/>
            </w:r>
            <w:hyperlink r:id="rId40" w:tooltip="Erythrocyte_sedimentation_rate" w:history="1">
              <w:r w:rsidR="00F01FDC" w:rsidRPr="00180260">
                <w:rPr>
                  <w:rFonts w:ascii="Times New Roman" w:eastAsia="Times New Roman" w:hAnsi="Times New Roman"/>
                  <w:color w:val="0000FF"/>
                  <w:sz w:val="24"/>
                  <w:szCs w:val="24"/>
                  <w:u w:val="single"/>
                </w:rPr>
                <w:t>sedimentation rate</w:t>
              </w:r>
            </w:hyperlink>
            <w:r w:rsidR="00F01FDC" w:rsidRPr="00180260">
              <w:rPr>
                <w:rFonts w:ascii="Times New Roman" w:eastAsia="Times New Roman" w:hAnsi="Times New Roman"/>
                <w:sz w:val="24"/>
                <w:szCs w:val="24"/>
              </w:rPr>
              <w:t xml:space="preserve"> (ESR)</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11</w:t>
            </w:r>
          </w:p>
        </w:tc>
      </w:tr>
    </w:tbl>
    <w:p w:rsidR="00F01FDC" w:rsidRPr="00180260" w:rsidRDefault="00F01FDC" w:rsidP="00F01FDC">
      <w:pPr>
        <w:spacing w:before="100" w:beforeAutospacing="1" w:after="100" w:afterAutospacing="1" w:line="240" w:lineRule="auto"/>
        <w:outlineLvl w:val="2"/>
        <w:rPr>
          <w:rFonts w:ascii="Times New Roman" w:eastAsia="Times New Roman" w:hAnsi="Times New Roman"/>
          <w:b/>
          <w:bCs/>
          <w:sz w:val="27"/>
          <w:szCs w:val="27"/>
        </w:rPr>
      </w:pPr>
      <w:bookmarkStart w:id="9" w:name="White_blood_cells"/>
      <w:r w:rsidRPr="00180260">
        <w:rPr>
          <w:rFonts w:ascii="Times New Roman" w:eastAsia="Times New Roman" w:hAnsi="Times New Roman"/>
          <w:b/>
          <w:bCs/>
          <w:sz w:val="27"/>
          <w:szCs w:val="27"/>
        </w:rPr>
        <w:t>White blood cells</w:t>
      </w:r>
      <w:bookmarkEnd w:id="9"/>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32"/>
        <w:gridCol w:w="1724"/>
        <w:gridCol w:w="405"/>
      </w:tblGrid>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Total white blood cells</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4.0 - 11.0 x10</w:t>
            </w:r>
            <w:r w:rsidRPr="00180260">
              <w:rPr>
                <w:rFonts w:ascii="Times New Roman" w:eastAsia="Times New Roman" w:hAnsi="Times New Roman"/>
                <w:sz w:val="24"/>
                <w:szCs w:val="24"/>
                <w:vertAlign w:val="superscript"/>
              </w:rPr>
              <w:t>9</w:t>
            </w:r>
            <w:r w:rsidRPr="00180260">
              <w:rPr>
                <w:rFonts w:ascii="Times New Roman" w:eastAsia="Times New Roman" w:hAnsi="Times New Roman"/>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Neutrophil granulocytes</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2.0 - 7.5 x10</w:t>
            </w:r>
            <w:r w:rsidRPr="00180260">
              <w:rPr>
                <w:rFonts w:ascii="Times New Roman" w:eastAsia="Times New Roman" w:hAnsi="Times New Roman"/>
                <w:sz w:val="24"/>
                <w:szCs w:val="24"/>
                <w:vertAlign w:val="superscript"/>
              </w:rPr>
              <w:t>9</w:t>
            </w:r>
            <w:r w:rsidRPr="00180260">
              <w:rPr>
                <w:rFonts w:ascii="Times New Roman" w:eastAsia="Times New Roman" w:hAnsi="Times New Roman"/>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7</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41" w:tooltip="Lymphocyte" w:history="1">
              <w:r w:rsidR="00F01FDC" w:rsidRPr="00180260">
                <w:rPr>
                  <w:rFonts w:ascii="Times New Roman" w:eastAsia="Times New Roman" w:hAnsi="Times New Roman"/>
                  <w:color w:val="0000FF"/>
                  <w:sz w:val="24"/>
                  <w:szCs w:val="24"/>
                  <w:u w:val="single"/>
                </w:rPr>
                <w:t>Lymphocytes</w:t>
              </w:r>
            </w:hyperlink>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1.0 - 4.0 x10</w:t>
            </w:r>
            <w:r w:rsidRPr="00180260">
              <w:rPr>
                <w:rFonts w:ascii="Times New Roman" w:eastAsia="Times New Roman" w:hAnsi="Times New Roman"/>
                <w:sz w:val="24"/>
                <w:szCs w:val="24"/>
                <w:vertAlign w:val="superscript"/>
              </w:rPr>
              <w:t>9</w:t>
            </w:r>
            <w:r w:rsidRPr="00180260">
              <w:rPr>
                <w:rFonts w:ascii="Times New Roman" w:eastAsia="Times New Roman" w:hAnsi="Times New Roman"/>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Monocytes</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0.0 - 0.8 x10</w:t>
            </w:r>
            <w:r w:rsidRPr="00180260">
              <w:rPr>
                <w:rFonts w:ascii="Times New Roman" w:eastAsia="Times New Roman" w:hAnsi="Times New Roman"/>
                <w:sz w:val="24"/>
                <w:szCs w:val="24"/>
                <w:vertAlign w:val="superscript"/>
              </w:rPr>
              <w:t>9</w:t>
            </w:r>
            <w:r w:rsidRPr="00180260">
              <w:rPr>
                <w:rFonts w:ascii="Times New Roman" w:eastAsia="Times New Roman" w:hAnsi="Times New Roman"/>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0.4</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Eosinophil granulocytes</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0.0 - 0.5 x10</w:t>
            </w:r>
            <w:r w:rsidRPr="00180260">
              <w:rPr>
                <w:rFonts w:ascii="Times New Roman" w:eastAsia="Times New Roman" w:hAnsi="Times New Roman"/>
                <w:sz w:val="24"/>
                <w:szCs w:val="24"/>
                <w:vertAlign w:val="superscript"/>
              </w:rPr>
              <w:t>9</w:t>
            </w:r>
            <w:r w:rsidRPr="00180260">
              <w:rPr>
                <w:rFonts w:ascii="Times New Roman" w:eastAsia="Times New Roman" w:hAnsi="Times New Roman"/>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0.4</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Basophil granulocytes</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0.0 - 0.2 x10</w:t>
            </w:r>
            <w:r w:rsidRPr="00180260">
              <w:rPr>
                <w:rFonts w:ascii="Times New Roman" w:eastAsia="Times New Roman" w:hAnsi="Times New Roman"/>
                <w:sz w:val="24"/>
                <w:szCs w:val="24"/>
                <w:vertAlign w:val="superscript"/>
              </w:rPr>
              <w:t>9</w:t>
            </w:r>
            <w:r w:rsidRPr="00180260">
              <w:rPr>
                <w:rFonts w:ascii="Times New Roman" w:eastAsia="Times New Roman" w:hAnsi="Times New Roman"/>
                <w:sz w:val="24"/>
                <w:szCs w:val="24"/>
              </w:rPr>
              <w:t>/L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0.1</w:t>
            </w:r>
          </w:p>
        </w:tc>
      </w:tr>
    </w:tbl>
    <w:p w:rsidR="00F01FDC" w:rsidRPr="00180260" w:rsidRDefault="00F01FDC" w:rsidP="00F01FDC">
      <w:pPr>
        <w:spacing w:before="100" w:beforeAutospacing="1" w:after="100" w:afterAutospacing="1" w:line="240" w:lineRule="auto"/>
        <w:outlineLvl w:val="2"/>
        <w:rPr>
          <w:rFonts w:ascii="Times New Roman" w:eastAsia="Times New Roman" w:hAnsi="Times New Roman"/>
          <w:b/>
          <w:bCs/>
          <w:sz w:val="27"/>
          <w:szCs w:val="27"/>
        </w:rPr>
      </w:pPr>
      <w:bookmarkStart w:id="10" w:name="Coagulation"/>
      <w:r w:rsidRPr="00180260">
        <w:rPr>
          <w:rFonts w:ascii="Times New Roman" w:eastAsia="Times New Roman" w:hAnsi="Times New Roman"/>
          <w:b/>
          <w:bCs/>
          <w:sz w:val="27"/>
          <w:szCs w:val="27"/>
        </w:rPr>
        <w:t>Coagulation</w:t>
      </w:r>
      <w:bookmarkEnd w:id="10"/>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31"/>
        <w:gridCol w:w="1350"/>
        <w:gridCol w:w="345"/>
      </w:tblGrid>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42" w:tooltip="International_normalized_ratio" w:history="1">
              <w:r w:rsidR="00F01FDC" w:rsidRPr="00180260">
                <w:rPr>
                  <w:rFonts w:ascii="Times New Roman" w:eastAsia="Times New Roman" w:hAnsi="Times New Roman"/>
                  <w:color w:val="0000FF"/>
                  <w:sz w:val="24"/>
                  <w:szCs w:val="24"/>
                  <w:u w:val="single"/>
                </w:rPr>
                <w:t>Prothrombin time</w:t>
              </w:r>
            </w:hyperlink>
            <w:r w:rsidR="00F01FDC" w:rsidRPr="00180260">
              <w:rPr>
                <w:rFonts w:ascii="Times New Roman" w:eastAsia="Times New Roman" w:hAnsi="Times New Roman"/>
                <w:sz w:val="24"/>
                <w:szCs w:val="24"/>
              </w:rPr>
              <w:t xml:space="preserve"> (PT)</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7 - 10 s</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E10EAF"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11</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43" w:tooltip="International_normalized_ratio" w:history="1">
              <w:r w:rsidR="00F01FDC" w:rsidRPr="00180260">
                <w:rPr>
                  <w:rFonts w:ascii="Times New Roman" w:eastAsia="Times New Roman" w:hAnsi="Times New Roman"/>
                  <w:color w:val="0000FF"/>
                  <w:sz w:val="24"/>
                  <w:szCs w:val="24"/>
                  <w:u w:val="single"/>
                </w:rPr>
                <w:t>INR</w:t>
              </w:r>
            </w:hyperlink>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0.8 - 1.2</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Activated partial thromboplastin time (APTT)</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29 - 41 s</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Thrombin clotting time (TCT)</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11 - 18 s</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44" w:tooltip="Fibrin" w:history="1">
              <w:r w:rsidR="00F01FDC" w:rsidRPr="00180260">
                <w:rPr>
                  <w:rFonts w:ascii="Times New Roman" w:eastAsia="Times New Roman" w:hAnsi="Times New Roman"/>
                  <w:color w:val="0000FF"/>
                  <w:sz w:val="24"/>
                  <w:szCs w:val="24"/>
                  <w:u w:val="single"/>
                </w:rPr>
                <w:t>Fibrinogen</w:t>
              </w:r>
            </w:hyperlink>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1.8 - 4.0 g/L</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53301F" w:rsidP="006D6E4A">
            <w:pPr>
              <w:spacing w:after="0" w:line="240" w:lineRule="auto"/>
              <w:rPr>
                <w:rFonts w:ascii="Times New Roman" w:eastAsia="Times New Roman" w:hAnsi="Times New Roman"/>
                <w:sz w:val="24"/>
                <w:szCs w:val="24"/>
              </w:rPr>
            </w:pPr>
            <w:hyperlink r:id="rId45" w:tooltip="Bleeding_time" w:history="1">
              <w:r w:rsidR="00F01FDC" w:rsidRPr="00180260">
                <w:rPr>
                  <w:rFonts w:ascii="Times New Roman" w:eastAsia="Times New Roman" w:hAnsi="Times New Roman"/>
                  <w:color w:val="0000FF"/>
                  <w:sz w:val="24"/>
                  <w:szCs w:val="24"/>
                  <w:u w:val="single"/>
                </w:rPr>
                <w:t>Bleeding time</w:t>
              </w:r>
            </w:hyperlink>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2 - 8 minutes</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p>
        </w:tc>
      </w:tr>
    </w:tbl>
    <w:p w:rsidR="00F01FDC" w:rsidRPr="00180260" w:rsidRDefault="00F01FDC" w:rsidP="00F01FDC">
      <w:pPr>
        <w:spacing w:before="100" w:beforeAutospacing="1" w:after="100" w:afterAutospacing="1" w:line="240" w:lineRule="auto"/>
        <w:outlineLvl w:val="1"/>
        <w:rPr>
          <w:rFonts w:ascii="Times New Roman" w:eastAsia="Times New Roman" w:hAnsi="Times New Roman"/>
          <w:b/>
          <w:bCs/>
          <w:sz w:val="36"/>
          <w:szCs w:val="36"/>
        </w:rPr>
      </w:pPr>
      <w:bookmarkStart w:id="11" w:name="Immunology"/>
      <w:r w:rsidRPr="00180260">
        <w:rPr>
          <w:rFonts w:ascii="Times New Roman" w:eastAsia="Times New Roman" w:hAnsi="Times New Roman"/>
          <w:b/>
          <w:bCs/>
          <w:sz w:val="36"/>
          <w:szCs w:val="36"/>
        </w:rPr>
        <w:t>Immunology</w:t>
      </w:r>
      <w:bookmarkEnd w:id="11"/>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44"/>
        <w:gridCol w:w="110"/>
        <w:gridCol w:w="1418"/>
      </w:tblGrid>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Antinuclear antibodies (ANA)</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Not Indicated</w:t>
            </w:r>
          </w:p>
        </w:tc>
      </w:tr>
      <w:tr w:rsidR="00F01FDC" w:rsidRPr="001802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sidRPr="00180260">
              <w:rPr>
                <w:rFonts w:ascii="Times New Roman" w:eastAsia="Times New Roman" w:hAnsi="Times New Roman"/>
                <w:sz w:val="24"/>
                <w:szCs w:val="24"/>
              </w:rPr>
              <w:t>Extractable nuclear antigen (ENA)</w:t>
            </w: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F01FDC" w:rsidRPr="00180260" w:rsidRDefault="00F01FDC" w:rsidP="006D6E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Not Indicated</w:t>
            </w:r>
          </w:p>
        </w:tc>
      </w:tr>
    </w:tbl>
    <w:p w:rsidR="00F01FDC" w:rsidRDefault="00F01FDC"/>
    <w:sectPr w:rsidR="00F01FDC" w:rsidSect="0012398E">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505029"/>
    <w:rsid w:val="0012398E"/>
    <w:rsid w:val="002E6ECA"/>
    <w:rsid w:val="00470392"/>
    <w:rsid w:val="00505029"/>
    <w:rsid w:val="0053301F"/>
    <w:rsid w:val="00761782"/>
    <w:rsid w:val="007E5417"/>
    <w:rsid w:val="008561D2"/>
    <w:rsid w:val="008A0372"/>
    <w:rsid w:val="009B3724"/>
    <w:rsid w:val="00AB3542"/>
    <w:rsid w:val="00C80F3B"/>
    <w:rsid w:val="00D4652D"/>
    <w:rsid w:val="00E10EAF"/>
    <w:rsid w:val="00F01FDC"/>
    <w:rsid w:val="00F056BC"/>
    <w:rsid w:val="00F36944"/>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98E"/>
  </w:style>
  <w:style w:type="paragraph" w:styleId="Heading2">
    <w:name w:val="heading 2"/>
    <w:basedOn w:val="Normal"/>
    <w:link w:val="Heading2Char"/>
    <w:uiPriority w:val="9"/>
    <w:qFormat/>
    <w:rsid w:val="00C80F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basedOn w:val="DefaultParagraphFont"/>
    <w:uiPriority w:val="22"/>
    <w:qFormat/>
    <w:rsid w:val="00F01FDC"/>
    <w:rPr>
      <w:b/>
      <w:bCs/>
    </w:rPr>
  </w:style>
  <w:style w:type="paragraph" w:styleId="BalloonText">
    <w:name w:val="Balloon Text"/>
    <w:basedOn w:val="Normal"/>
    <w:link w:val="BalloonTextChar"/>
    <w:uiPriority w:val="99"/>
    <w:semiHidden/>
    <w:unhideWhenUsed/>
    <w:rsid w:val="00AB3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542"/>
    <w:rPr>
      <w:rFonts w:ascii="Tahoma" w:hAnsi="Tahoma" w:cs="Tahoma"/>
      <w:sz w:val="16"/>
      <w:szCs w:val="16"/>
    </w:rPr>
  </w:style>
  <w:style w:type="character" w:customStyle="1" w:styleId="citation-abbreviation">
    <w:name w:val="citation-abbreviation"/>
    <w:basedOn w:val="DefaultParagraphFont"/>
    <w:rsid w:val="00C80F3B"/>
  </w:style>
  <w:style w:type="character" w:customStyle="1" w:styleId="citation-volume">
    <w:name w:val="citation-volume"/>
    <w:basedOn w:val="DefaultParagraphFont"/>
    <w:rsid w:val="00C80F3B"/>
  </w:style>
  <w:style w:type="character" w:customStyle="1" w:styleId="citation-issue">
    <w:name w:val="citation-issue"/>
    <w:basedOn w:val="DefaultParagraphFont"/>
    <w:rsid w:val="00C80F3B"/>
  </w:style>
  <w:style w:type="character" w:customStyle="1" w:styleId="citation-flpages">
    <w:name w:val="citation-flpages"/>
    <w:basedOn w:val="DefaultParagraphFont"/>
    <w:rsid w:val="00C80F3B"/>
  </w:style>
  <w:style w:type="character" w:customStyle="1" w:styleId="fm-vol-iss-date">
    <w:name w:val="fm-vol-iss-date"/>
    <w:basedOn w:val="DefaultParagraphFont"/>
    <w:rsid w:val="00C80F3B"/>
  </w:style>
  <w:style w:type="character" w:customStyle="1" w:styleId="fm-citation-ids-label">
    <w:name w:val="fm-citation-ids-label"/>
    <w:basedOn w:val="DefaultParagraphFont"/>
    <w:rsid w:val="00C80F3B"/>
  </w:style>
  <w:style w:type="character" w:styleId="Hyperlink">
    <w:name w:val="Hyperlink"/>
    <w:basedOn w:val="DefaultParagraphFont"/>
    <w:uiPriority w:val="99"/>
    <w:semiHidden/>
    <w:unhideWhenUsed/>
    <w:rsid w:val="00C80F3B"/>
    <w:rPr>
      <w:color w:val="0000FF"/>
      <w:u w:val="single"/>
    </w:rPr>
  </w:style>
  <w:style w:type="character" w:customStyle="1" w:styleId="Heading2Char">
    <w:name w:val="Heading 2 Char"/>
    <w:basedOn w:val="DefaultParagraphFont"/>
    <w:link w:val="Heading2"/>
    <w:uiPriority w:val="9"/>
    <w:rsid w:val="00C80F3B"/>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10638507">
      <w:bodyDiv w:val="1"/>
      <w:marLeft w:val="0"/>
      <w:marRight w:val="0"/>
      <w:marTop w:val="0"/>
      <w:marBottom w:val="0"/>
      <w:divBdr>
        <w:top w:val="none" w:sz="0" w:space="0" w:color="auto"/>
        <w:left w:val="none" w:sz="0" w:space="0" w:color="auto"/>
        <w:bottom w:val="none" w:sz="0" w:space="0" w:color="auto"/>
        <w:right w:val="none" w:sz="0" w:space="0" w:color="auto"/>
      </w:divBdr>
    </w:div>
    <w:div w:id="256908215">
      <w:bodyDiv w:val="1"/>
      <w:marLeft w:val="0"/>
      <w:marRight w:val="0"/>
      <w:marTop w:val="0"/>
      <w:marBottom w:val="0"/>
      <w:divBdr>
        <w:top w:val="none" w:sz="0" w:space="0" w:color="auto"/>
        <w:left w:val="none" w:sz="0" w:space="0" w:color="auto"/>
        <w:bottom w:val="none" w:sz="0" w:space="0" w:color="auto"/>
        <w:right w:val="none" w:sz="0" w:space="0" w:color="auto"/>
      </w:divBdr>
    </w:div>
    <w:div w:id="1283655217">
      <w:bodyDiv w:val="1"/>
      <w:marLeft w:val="0"/>
      <w:marRight w:val="0"/>
      <w:marTop w:val="0"/>
      <w:marBottom w:val="0"/>
      <w:divBdr>
        <w:top w:val="none" w:sz="0" w:space="0" w:color="auto"/>
        <w:left w:val="none" w:sz="0" w:space="0" w:color="auto"/>
        <w:bottom w:val="none" w:sz="0" w:space="0" w:color="auto"/>
        <w:right w:val="none" w:sz="0" w:space="0" w:color="auto"/>
      </w:divBdr>
      <w:divsChild>
        <w:div w:id="1854303353">
          <w:marLeft w:val="0"/>
          <w:marRight w:val="0"/>
          <w:marTop w:val="0"/>
          <w:marBottom w:val="0"/>
          <w:divBdr>
            <w:top w:val="none" w:sz="0" w:space="0" w:color="auto"/>
            <w:left w:val="none" w:sz="0" w:space="0" w:color="auto"/>
            <w:bottom w:val="none" w:sz="0" w:space="0" w:color="auto"/>
            <w:right w:val="none" w:sz="0" w:space="0" w:color="auto"/>
          </w:divBdr>
          <w:divsChild>
            <w:div w:id="1931695566">
              <w:marLeft w:val="0"/>
              <w:marRight w:val="0"/>
              <w:marTop w:val="0"/>
              <w:marBottom w:val="0"/>
              <w:divBdr>
                <w:top w:val="none" w:sz="0" w:space="0" w:color="auto"/>
                <w:left w:val="none" w:sz="0" w:space="0" w:color="auto"/>
                <w:bottom w:val="none" w:sz="0" w:space="0" w:color="auto"/>
                <w:right w:val="none" w:sz="0" w:space="0" w:color="auto"/>
              </w:divBdr>
            </w:div>
            <w:div w:id="1584684351">
              <w:marLeft w:val="0"/>
              <w:marRight w:val="0"/>
              <w:marTop w:val="0"/>
              <w:marBottom w:val="0"/>
              <w:divBdr>
                <w:top w:val="none" w:sz="0" w:space="0" w:color="auto"/>
                <w:left w:val="none" w:sz="0" w:space="0" w:color="auto"/>
                <w:bottom w:val="none" w:sz="0" w:space="0" w:color="auto"/>
                <w:right w:val="none" w:sz="0" w:space="0" w:color="auto"/>
              </w:divBdr>
            </w:div>
          </w:divsChild>
        </w:div>
        <w:div w:id="147022438">
          <w:marLeft w:val="0"/>
          <w:marRight w:val="0"/>
          <w:marTop w:val="0"/>
          <w:marBottom w:val="0"/>
          <w:divBdr>
            <w:top w:val="none" w:sz="0" w:space="0" w:color="auto"/>
            <w:left w:val="none" w:sz="0" w:space="0" w:color="auto"/>
            <w:bottom w:val="none" w:sz="0" w:space="0" w:color="auto"/>
            <w:right w:val="none" w:sz="0" w:space="0" w:color="auto"/>
          </w:divBdr>
        </w:div>
        <w:div w:id="2078045653">
          <w:marLeft w:val="0"/>
          <w:marRight w:val="0"/>
          <w:marTop w:val="0"/>
          <w:marBottom w:val="0"/>
          <w:divBdr>
            <w:top w:val="none" w:sz="0" w:space="0" w:color="auto"/>
            <w:left w:val="none" w:sz="0" w:space="0" w:color="auto"/>
            <w:bottom w:val="none" w:sz="0" w:space="0" w:color="auto"/>
            <w:right w:val="none" w:sz="0" w:space="0" w:color="auto"/>
          </w:divBdr>
        </w:div>
        <w:div w:id="672880705">
          <w:marLeft w:val="0"/>
          <w:marRight w:val="0"/>
          <w:marTop w:val="0"/>
          <w:marBottom w:val="0"/>
          <w:divBdr>
            <w:top w:val="none" w:sz="0" w:space="0" w:color="auto"/>
            <w:left w:val="none" w:sz="0" w:space="0" w:color="auto"/>
            <w:bottom w:val="none" w:sz="0" w:space="0" w:color="auto"/>
            <w:right w:val="none" w:sz="0" w:space="0" w:color="auto"/>
          </w:divBdr>
        </w:div>
        <w:div w:id="1707176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35" Type="http://schemas.openxmlformats.org/officeDocument/2006/relationships/hyperlink" Target="http://july.fixedreference.org/en/20040724/wikipedia/Prolactin" TargetMode="External"/><Relationship Id="rId31" Type="http://schemas.openxmlformats.org/officeDocument/2006/relationships/hyperlink" Target="http://july.fixedreference.org/en/20040724/wikipedia/Thyroid_hormone" TargetMode="External"/><Relationship Id="rId34" Type="http://schemas.openxmlformats.org/officeDocument/2006/relationships/hyperlink" Target="http://july.fixedreference.org/en/20040724/wikipedia/Cortisol" TargetMode="External"/><Relationship Id="rId39" Type="http://schemas.openxmlformats.org/officeDocument/2006/relationships/hyperlink" Target="http://july.fixedreference.org/en/20040724/wikipedia/Erythrocyte_sedimentation_rate" TargetMode="External"/><Relationship Id="rId40" Type="http://schemas.openxmlformats.org/officeDocument/2006/relationships/hyperlink" Target="http://july.fixedreference.org/en/20040724/wikipedia/Erythrocyte_sedimentation_rate" TargetMode="External"/><Relationship Id="rId7" Type="http://schemas.openxmlformats.org/officeDocument/2006/relationships/image" Target="media/image2.gif"/><Relationship Id="rId36" Type="http://schemas.openxmlformats.org/officeDocument/2006/relationships/hyperlink" Target="http://july.fixedreference.org/en/20040724/wikipedia/Testosterone" TargetMode="External"/><Relationship Id="rId43" Type="http://schemas.openxmlformats.org/officeDocument/2006/relationships/hyperlink" Target="http://july.fixedreference.org/en/20040724/wikipedia/International_normalized_ratio" TargetMode="External"/><Relationship Id="rId1" Type="http://schemas.openxmlformats.org/officeDocument/2006/relationships/styles" Target="styles.xml"/><Relationship Id="rId24" Type="http://schemas.openxmlformats.org/officeDocument/2006/relationships/hyperlink" Target="http://july.fixedreference.org/en/20040724/wikipedia/Triglyceride" TargetMode="External"/><Relationship Id="rId25" Type="http://schemas.openxmlformats.org/officeDocument/2006/relationships/hyperlink" Target="http://july.fixedreference.org/en/20040724/wikipedia/Cholesterol" TargetMode="External"/><Relationship Id="rId47" Type="http://schemas.openxmlformats.org/officeDocument/2006/relationships/theme" Target="theme/theme1.xml"/><Relationship Id="rId8" Type="http://schemas.openxmlformats.org/officeDocument/2006/relationships/hyperlink" Target="http://ajp.psychiatryonline.org/misc/terms.shtml" TargetMode="External"/><Relationship Id="rId13" Type="http://schemas.openxmlformats.org/officeDocument/2006/relationships/hyperlink" Target="http://july.fixedreference.org/en/20040724/wikipedia/Glucose" TargetMode="External"/><Relationship Id="rId10" Type="http://schemas.openxmlformats.org/officeDocument/2006/relationships/hyperlink" Target="http://july.fixedreference.org/en/20040724/wikipedia/Potassium" TargetMode="External"/><Relationship Id="rId32" Type="http://schemas.openxmlformats.org/officeDocument/2006/relationships/hyperlink" Target="http://july.fixedreference.org/en/20040724/wikipedia/Thyroid_hormone" TargetMode="External"/><Relationship Id="rId37" Type="http://schemas.openxmlformats.org/officeDocument/2006/relationships/hyperlink" Target="http://july.fixedreference.org/en/20040724/wikipedia/Hemoglobin" TargetMode="External"/><Relationship Id="rId12" Type="http://schemas.openxmlformats.org/officeDocument/2006/relationships/hyperlink" Target="http://july.fixedreference.org/en/20040724/wikipedia/Creatinine" TargetMode="External"/><Relationship Id="rId17" Type="http://schemas.openxmlformats.org/officeDocument/2006/relationships/hyperlink" Target="http://july.fixedreference.org/en/20040724/wikipedia/Creatine_kinase" TargetMode="External"/><Relationship Id="rId9" Type="http://schemas.openxmlformats.org/officeDocument/2006/relationships/hyperlink" Target="http://july.fixedreference.org/en/20040724/wikipedia/Sodium" TargetMode="External"/><Relationship Id="rId18" Type="http://schemas.openxmlformats.org/officeDocument/2006/relationships/hyperlink" Target="http://july.fixedreference.org/en/20040724/wikipedia/Lactate_dehydrogenase" TargetMode="External"/><Relationship Id="rId3" Type="http://schemas.openxmlformats.org/officeDocument/2006/relationships/webSettings" Target="webSettings.xml"/><Relationship Id="rId27" Type="http://schemas.openxmlformats.org/officeDocument/2006/relationships/hyperlink" Target="http://july.fixedreference.org/en/20040724/wikipedia/Low_density_lipoprotein" TargetMode="External"/><Relationship Id="rId14" Type="http://schemas.openxmlformats.org/officeDocument/2006/relationships/hyperlink" Target="http://july.fixedreference.org/en/20040724/wikipedia/Albumin" TargetMode="External"/><Relationship Id="rId23" Type="http://schemas.openxmlformats.org/officeDocument/2006/relationships/hyperlink" Target="http://july.fixedreference.org/en/20040724/wikipedia/Zinc" TargetMode="External"/><Relationship Id="rId4" Type="http://schemas.openxmlformats.org/officeDocument/2006/relationships/image" Target="media/image1.png"/><Relationship Id="rId28" Type="http://schemas.openxmlformats.org/officeDocument/2006/relationships/hyperlink" Target="http://july.fixedreference.org/en/20040724/wikipedia/Alpha-fetoprotein" TargetMode="External"/><Relationship Id="rId45" Type="http://schemas.openxmlformats.org/officeDocument/2006/relationships/hyperlink" Target="http://july.fixedreference.org/en/20040724/wikipedia/Bleeding_time" TargetMode="External"/><Relationship Id="rId26" Type="http://schemas.openxmlformats.org/officeDocument/2006/relationships/hyperlink" Target="http://july.fixedreference.org/en/20040724/wikipedia/High_density_lipoprotein" TargetMode="External"/><Relationship Id="rId30" Type="http://schemas.openxmlformats.org/officeDocument/2006/relationships/hyperlink" Target="http://july.fixedreference.org/en/20040724/wikipedia/Thyroid-stimulating_hormone" TargetMode="External"/><Relationship Id="rId11" Type="http://schemas.openxmlformats.org/officeDocument/2006/relationships/hyperlink" Target="http://july.fixedreference.org/en/20040724/wikipedia/Urea" TargetMode="External"/><Relationship Id="rId42" Type="http://schemas.openxmlformats.org/officeDocument/2006/relationships/hyperlink" Target="http://july.fixedreference.org/en/20040724/wikipedia/International_normalized_ratio" TargetMode="External"/><Relationship Id="rId29" Type="http://schemas.openxmlformats.org/officeDocument/2006/relationships/hyperlink" Target="http://july.fixedreference.org/en/20040724/wikipedia/Prostate_specific_antigen" TargetMode="External"/><Relationship Id="rId6" Type="http://schemas.openxmlformats.org/officeDocument/2006/relationships/hyperlink" Target="http://www.ncbi.nlm.nih.gov/pmc/about/copyright.html" TargetMode="External"/><Relationship Id="rId16" Type="http://schemas.openxmlformats.org/officeDocument/2006/relationships/hyperlink" Target="http://july.fixedreference.org/en/20040724/wikipedia/Alanine_transaminase" TargetMode="External"/><Relationship Id="rId33" Type="http://schemas.openxmlformats.org/officeDocument/2006/relationships/hyperlink" Target="http://july.fixedreference.org/en/20040724/wikipedia/Adrenocorticotropic_hormone" TargetMode="External"/><Relationship Id="rId44" Type="http://schemas.openxmlformats.org/officeDocument/2006/relationships/hyperlink" Target="http://july.fixedreference.org/en/20040724/wikipedia/Fibrin" TargetMode="External"/><Relationship Id="rId41" Type="http://schemas.openxmlformats.org/officeDocument/2006/relationships/hyperlink" Target="http://july.fixedreference.org/en/20040724/wikipedia/Lymphocyte" TargetMode="External"/><Relationship Id="rId5" Type="http://schemas.openxmlformats.org/officeDocument/2006/relationships/hyperlink" Target="http://www.neurology.org/misc/terms.shtml" TargetMode="External"/><Relationship Id="rId15" Type="http://schemas.openxmlformats.org/officeDocument/2006/relationships/hyperlink" Target="http://july.fixedreference.org/en/20040724/wikipedia/Bilirubin" TargetMode="External"/><Relationship Id="rId19" Type="http://schemas.openxmlformats.org/officeDocument/2006/relationships/hyperlink" Target="http://july.fixedreference.org/en/20040724/wikipedia/Amylase" TargetMode="External"/><Relationship Id="rId38" Type="http://schemas.openxmlformats.org/officeDocument/2006/relationships/hyperlink" Target="http://july.fixedreference.org/en/20040724/wikipedia/Hematocrit" TargetMode="External"/><Relationship Id="rId20" Type="http://schemas.openxmlformats.org/officeDocument/2006/relationships/hyperlink" Target="http://july.fixedreference.org/en/20040724/wikipedia/C-reactive_protein" TargetMode="External"/><Relationship Id="rId22" Type="http://schemas.openxmlformats.org/officeDocument/2006/relationships/hyperlink" Target="http://july.fixedreference.org/en/20040724/wikipedia/Copper" TargetMode="External"/><Relationship Id="rId21" Type="http://schemas.openxmlformats.org/officeDocument/2006/relationships/hyperlink" Target="http://july.fixedreference.org/en/20040724/wikipedia/Calcium" TargetMode="Externa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1745</Words>
  <Characters>9947</Characters>
  <Application>Microsoft Macintosh Word</Application>
  <DocSecurity>0</DocSecurity>
  <Lines>82</Lines>
  <Paragraphs>19</Paragraphs>
  <ScaleCrop>false</ScaleCrop>
  <Company>Toshiba</Company>
  <LinksUpToDate>false</LinksUpToDate>
  <CharactersWithSpaces>12215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Susie Stephens</cp:lastModifiedBy>
  <cp:revision>3</cp:revision>
  <dcterms:created xsi:type="dcterms:W3CDTF">2009-11-07T19:24:00Z</dcterms:created>
  <dcterms:modified xsi:type="dcterms:W3CDTF">2009-11-07T19:29:00Z</dcterms:modified>
</cp:coreProperties>
</file>